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5B50" w14:textId="006DDCF6" w:rsidR="00095BAF" w:rsidRDefault="00B64D0F" w:rsidP="00B66A80">
      <w:pPr>
        <w:jc w:val="center"/>
        <w:rPr>
          <w:b/>
          <w:bCs/>
          <w:sz w:val="28"/>
          <w:szCs w:val="28"/>
        </w:rPr>
      </w:pPr>
      <w:r>
        <w:rPr>
          <w:b/>
          <w:bCs/>
          <w:sz w:val="28"/>
          <w:szCs w:val="28"/>
        </w:rPr>
        <w:t xml:space="preserve">Ramsay </w:t>
      </w:r>
      <w:r w:rsidR="00853E29">
        <w:rPr>
          <w:b/>
          <w:bCs/>
          <w:sz w:val="28"/>
          <w:szCs w:val="28"/>
        </w:rPr>
        <w:t>Together</w:t>
      </w:r>
      <w:r w:rsidR="00AB0F58">
        <w:rPr>
          <w:b/>
          <w:bCs/>
          <w:sz w:val="28"/>
          <w:szCs w:val="28"/>
        </w:rPr>
        <w:t xml:space="preserve"> </w:t>
      </w:r>
      <w:r w:rsidR="00B66A80" w:rsidRPr="00B66A80">
        <w:rPr>
          <w:b/>
          <w:bCs/>
          <w:sz w:val="28"/>
          <w:szCs w:val="28"/>
        </w:rPr>
        <w:t>Log of Claims</w:t>
      </w:r>
      <w:r w:rsidR="008E2411">
        <w:rPr>
          <w:b/>
          <w:bCs/>
          <w:sz w:val="28"/>
          <w:szCs w:val="28"/>
        </w:rPr>
        <w:t xml:space="preserve"> </w:t>
      </w:r>
    </w:p>
    <w:p w14:paraId="139112AD" w14:textId="3F863DCE" w:rsidR="00E0389F" w:rsidRDefault="00E0389F" w:rsidP="00B66A80">
      <w:pPr>
        <w:jc w:val="center"/>
        <w:rPr>
          <w:b/>
          <w:bCs/>
          <w:sz w:val="28"/>
          <w:szCs w:val="28"/>
        </w:rPr>
      </w:pPr>
    </w:p>
    <w:p w14:paraId="1D50FBDE" w14:textId="64211C41" w:rsidR="003340B4" w:rsidRPr="00E22AC4" w:rsidRDefault="3045A261" w:rsidP="003340B4">
      <w:pPr>
        <w:rPr>
          <w:b/>
          <w:bCs/>
          <w:sz w:val="24"/>
          <w:szCs w:val="24"/>
        </w:rPr>
      </w:pPr>
      <w:r w:rsidRPr="63D9134C">
        <w:rPr>
          <w:b/>
          <w:bCs/>
          <w:sz w:val="24"/>
          <w:szCs w:val="24"/>
        </w:rPr>
        <w:t xml:space="preserve">Wages and wage related matters </w:t>
      </w:r>
    </w:p>
    <w:p w14:paraId="402ED410" w14:textId="5224121B" w:rsidR="63D9134C" w:rsidRDefault="63D9134C" w:rsidP="63D9134C"/>
    <w:p w14:paraId="626A8A80" w14:textId="471E2411" w:rsidR="00665719" w:rsidRDefault="0265813D" w:rsidP="00185798">
      <w:pPr>
        <w:pStyle w:val="ListParagraph"/>
        <w:numPr>
          <w:ilvl w:val="0"/>
          <w:numId w:val="1"/>
        </w:numPr>
      </w:pPr>
      <w:r>
        <w:t>Maintenance of existing entitlements and conditions from the existing agreement except for the increases and improvements in conditions sought by union parties in these negotiations.</w:t>
      </w:r>
      <w:r w:rsidR="5BB00AFC">
        <w:t xml:space="preserve"> </w:t>
      </w:r>
    </w:p>
    <w:p w14:paraId="304E7941" w14:textId="233B7A18" w:rsidR="000776CB" w:rsidRDefault="3AC6FBC2" w:rsidP="000776CB">
      <w:pPr>
        <w:pStyle w:val="ListParagraph"/>
        <w:numPr>
          <w:ilvl w:val="0"/>
          <w:numId w:val="1"/>
        </w:numPr>
      </w:pPr>
      <w:r>
        <w:t xml:space="preserve">Wage </w:t>
      </w:r>
      <w:r w:rsidR="0265813D">
        <w:t>increases</w:t>
      </w:r>
      <w:r>
        <w:t xml:space="preserve"> of </w:t>
      </w:r>
      <w:r w:rsidR="1A6595D1">
        <w:t>5</w:t>
      </w:r>
      <w:r>
        <w:t xml:space="preserve">% </w:t>
      </w:r>
      <w:r w:rsidR="0265813D">
        <w:t xml:space="preserve">per year </w:t>
      </w:r>
      <w:r>
        <w:t>or the annual wage decision of the Fair Work Commission, whichever is greater</w:t>
      </w:r>
      <w:r w:rsidR="00CB5BA5">
        <w:t>, or CPI</w:t>
      </w:r>
      <w:r>
        <w:t>.</w:t>
      </w:r>
      <w:r w:rsidR="4FDBB746">
        <w:t xml:space="preserve"> Wage increases paid on (date that we want this to happen)</w:t>
      </w:r>
    </w:p>
    <w:p w14:paraId="53E7A6D2" w14:textId="77777777" w:rsidR="000776CB" w:rsidRDefault="4FDBB746" w:rsidP="000776CB">
      <w:pPr>
        <w:pStyle w:val="ListParagraph"/>
        <w:numPr>
          <w:ilvl w:val="0"/>
          <w:numId w:val="1"/>
        </w:numPr>
      </w:pPr>
      <w:r>
        <w:t>The agreement shall have</w:t>
      </w:r>
      <w:r w:rsidR="004B0FC6">
        <w:t xml:space="preserve"> an expiry date of two years.  </w:t>
      </w:r>
    </w:p>
    <w:p w14:paraId="1543CA25" w14:textId="7715D54D" w:rsidR="000776CB" w:rsidRDefault="3AC6FBC2" w:rsidP="000776CB">
      <w:pPr>
        <w:pStyle w:val="ListParagraph"/>
        <w:numPr>
          <w:ilvl w:val="0"/>
          <w:numId w:val="1"/>
        </w:numPr>
      </w:pPr>
      <w:r w:rsidRPr="008E2411">
        <w:t>All allowances</w:t>
      </w:r>
      <w:r>
        <w:t xml:space="preserve"> to increase in line with wages.</w:t>
      </w:r>
    </w:p>
    <w:p w14:paraId="2FE3EC49" w14:textId="77777777" w:rsidR="000776CB" w:rsidRDefault="4FDBB746" w:rsidP="000776CB">
      <w:pPr>
        <w:pStyle w:val="ListParagraph"/>
        <w:numPr>
          <w:ilvl w:val="0"/>
          <w:numId w:val="1"/>
        </w:numPr>
      </w:pPr>
      <w:r>
        <w:t xml:space="preserve">In addition to the contributions made by the employer pursuant to the Superannuation Guarantee the employer will make superannuation contributions equal to the superannuation contributions that the employer would have made in respect of that employee had that employee been receiving his/her rate of pay during the period of unpaid primary carer leave taken by the employee. </w:t>
      </w:r>
    </w:p>
    <w:p w14:paraId="377D4B29" w14:textId="33E33E90" w:rsidR="003340B4" w:rsidRDefault="4FDBB746" w:rsidP="000776CB">
      <w:pPr>
        <w:pStyle w:val="ListParagraph"/>
        <w:numPr>
          <w:ilvl w:val="0"/>
          <w:numId w:val="1"/>
        </w:numPr>
      </w:pPr>
      <w:r>
        <w:t>The employer will make additional superannuation contributions where a worker’s superannuation is not on track to meet the Association of Superannuation Funds of Australia (ASFA) retirement standard by the age of 65</w:t>
      </w:r>
      <w:r w:rsidR="3045A261">
        <w:t>.</w:t>
      </w:r>
    </w:p>
    <w:p w14:paraId="4865AB82" w14:textId="61DEF1F8" w:rsidR="00DB188E" w:rsidRDefault="002222D8" w:rsidP="000776CB">
      <w:pPr>
        <w:pStyle w:val="ListParagraph"/>
        <w:numPr>
          <w:ilvl w:val="0"/>
          <w:numId w:val="1"/>
        </w:numPr>
      </w:pPr>
      <w:r>
        <w:t xml:space="preserve">Payment of Superannuation for all overtime worked.  </w:t>
      </w:r>
    </w:p>
    <w:p w14:paraId="4F8B0A6E" w14:textId="3057981B" w:rsidR="003340B4" w:rsidRDefault="003340B4" w:rsidP="00185798"/>
    <w:p w14:paraId="0A67EA0F" w14:textId="56EA49B7" w:rsidR="003340B4" w:rsidRPr="00BB4BC5" w:rsidRDefault="003340B4" w:rsidP="003340B4">
      <w:pPr>
        <w:rPr>
          <w:b/>
          <w:bCs/>
        </w:rPr>
      </w:pPr>
      <w:r w:rsidRPr="00BB4BC5">
        <w:rPr>
          <w:b/>
          <w:bCs/>
        </w:rPr>
        <w:t>Occupational Health and Safety, Workloads, and Safe Staffing</w:t>
      </w:r>
    </w:p>
    <w:p w14:paraId="751ACC84" w14:textId="2024D865" w:rsidR="003340B4" w:rsidRDefault="003340B4" w:rsidP="003340B4"/>
    <w:p w14:paraId="408E58A8" w14:textId="4D2E78DB" w:rsidR="003340B4" w:rsidRDefault="7B621279" w:rsidP="000776CB">
      <w:pPr>
        <w:pStyle w:val="ListParagraph"/>
        <w:numPr>
          <w:ilvl w:val="0"/>
          <w:numId w:val="1"/>
        </w:numPr>
      </w:pPr>
      <w:r>
        <w:t xml:space="preserve">Introduction of electronically submitted </w:t>
      </w:r>
      <w:r w:rsidR="488BB60E">
        <w:t xml:space="preserve">time bound </w:t>
      </w:r>
      <w:r>
        <w:t xml:space="preserve">workload forms </w:t>
      </w:r>
      <w:r w:rsidR="7A51432F">
        <w:t xml:space="preserve">for transparency and ease of use of employees impacted by workload issues.  </w:t>
      </w:r>
      <w:r w:rsidR="5FF5A243">
        <w:t xml:space="preserve">This will enable </w:t>
      </w:r>
      <w:r w:rsidR="1706B295">
        <w:t xml:space="preserve">the raising, </w:t>
      </w:r>
      <w:r w:rsidR="36693EBC">
        <w:t xml:space="preserve">investigation, </w:t>
      </w:r>
      <w:r w:rsidR="43A82DCC">
        <w:t>resolution,</w:t>
      </w:r>
      <w:r w:rsidR="36693EBC">
        <w:t xml:space="preserve"> and monitoring of </w:t>
      </w:r>
      <w:r w:rsidR="1706B295">
        <w:t xml:space="preserve">workload concerns.  </w:t>
      </w:r>
    </w:p>
    <w:p w14:paraId="139BCD29" w14:textId="46228F84" w:rsidR="00276D6F" w:rsidRDefault="7A51432F" w:rsidP="000776CB">
      <w:pPr>
        <w:pStyle w:val="ListParagraph"/>
        <w:numPr>
          <w:ilvl w:val="0"/>
          <w:numId w:val="1"/>
        </w:numPr>
      </w:pPr>
      <w:r>
        <w:t xml:space="preserve">All </w:t>
      </w:r>
      <w:r w:rsidR="00D07643">
        <w:t xml:space="preserve">planned </w:t>
      </w:r>
      <w:r>
        <w:t>absences</w:t>
      </w:r>
      <w:r w:rsidR="00D07643">
        <w:t xml:space="preserve"> </w:t>
      </w:r>
      <w:r>
        <w:t xml:space="preserve">will be backfilled.  </w:t>
      </w:r>
    </w:p>
    <w:p w14:paraId="5F526ECF" w14:textId="77777777" w:rsidR="00D07643" w:rsidRDefault="7A51432F" w:rsidP="00D07643">
      <w:pPr>
        <w:pStyle w:val="ListParagraph"/>
        <w:numPr>
          <w:ilvl w:val="0"/>
          <w:numId w:val="1"/>
        </w:numPr>
      </w:pPr>
      <w:r>
        <w:t xml:space="preserve">All permanent positions that are vacated will be filled on a permanent basis within three months.  </w:t>
      </w:r>
      <w:r w:rsidR="52AFA51D">
        <w:t xml:space="preserve">  </w:t>
      </w:r>
    </w:p>
    <w:p w14:paraId="2EE4BEF4" w14:textId="503D6B83" w:rsidR="00F70501" w:rsidRDefault="5920026A" w:rsidP="00D07643">
      <w:pPr>
        <w:pStyle w:val="ListParagraph"/>
        <w:numPr>
          <w:ilvl w:val="0"/>
          <w:numId w:val="1"/>
        </w:numPr>
      </w:pPr>
      <w:r>
        <w:t xml:space="preserve">In relation to employees receiving </w:t>
      </w:r>
      <w:proofErr w:type="spellStart"/>
      <w:r>
        <w:t>WorkCover</w:t>
      </w:r>
      <w:proofErr w:type="spellEnd"/>
      <w:r>
        <w:t xml:space="preserve"> payments, the employer will provide make up pay to 100% of the employee’s pre-injury earnings for a period up to</w:t>
      </w:r>
      <w:r w:rsidR="00876432">
        <w:t xml:space="preserve"> </w:t>
      </w:r>
      <w:r w:rsidR="008E2411">
        <w:t>fifty-two</w:t>
      </w:r>
      <w:r w:rsidR="00876432">
        <w:t xml:space="preserve"> weeks</w:t>
      </w:r>
      <w:r>
        <w:t>.</w:t>
      </w:r>
    </w:p>
    <w:p w14:paraId="3AC48FDB" w14:textId="77777777" w:rsidR="001A50D3" w:rsidRDefault="001A50D3" w:rsidP="001A50D3">
      <w:pPr>
        <w:pStyle w:val="ListParagraph"/>
      </w:pPr>
    </w:p>
    <w:p w14:paraId="40DEB4A2" w14:textId="792BC239" w:rsidR="001A50D3" w:rsidRPr="00BB4BC5" w:rsidRDefault="001A50D3" w:rsidP="001A50D3">
      <w:pPr>
        <w:rPr>
          <w:b/>
          <w:bCs/>
        </w:rPr>
      </w:pPr>
      <w:r w:rsidRPr="00BB4BC5">
        <w:rPr>
          <w:b/>
          <w:bCs/>
        </w:rPr>
        <w:t xml:space="preserve">Employment Security </w:t>
      </w:r>
    </w:p>
    <w:p w14:paraId="6564A680" w14:textId="77777777" w:rsidR="00665719" w:rsidRDefault="00665719" w:rsidP="001A50D3"/>
    <w:p w14:paraId="1BF25A09" w14:textId="238EE877" w:rsidR="000C5D71" w:rsidRDefault="35EF03BB" w:rsidP="000776CB">
      <w:pPr>
        <w:pStyle w:val="ListParagraph"/>
        <w:numPr>
          <w:ilvl w:val="0"/>
          <w:numId w:val="1"/>
        </w:numPr>
      </w:pPr>
      <w:r>
        <w:t xml:space="preserve">That a redundancy package be included that provides for </w:t>
      </w:r>
      <w:r w:rsidR="002E1253">
        <w:t>six</w:t>
      </w:r>
      <w:r>
        <w:t xml:space="preserve"> </w:t>
      </w:r>
      <w:r w:rsidR="52AFA51D">
        <w:t>weeks’ notice</w:t>
      </w:r>
      <w:r>
        <w:t xml:space="preserve">, </w:t>
      </w:r>
      <w:r w:rsidR="002E1253">
        <w:t xml:space="preserve">two </w:t>
      </w:r>
      <w:r w:rsidR="52AFA51D">
        <w:t>weeks’</w:t>
      </w:r>
      <w:r>
        <w:t xml:space="preserve"> pay per year of service or part year of service, </w:t>
      </w:r>
      <w:r w:rsidR="7FB256D2">
        <w:t>pay out of pro rata long service leave for all employees and provision of outplacement services by an employee nominated provider.</w:t>
      </w:r>
    </w:p>
    <w:p w14:paraId="7986150E" w14:textId="549D3F1F" w:rsidR="001A50D3" w:rsidRDefault="002E1253" w:rsidP="000776CB">
      <w:pPr>
        <w:pStyle w:val="ListParagraph"/>
        <w:numPr>
          <w:ilvl w:val="0"/>
          <w:numId w:val="1"/>
        </w:numPr>
      </w:pPr>
      <w:r>
        <w:t xml:space="preserve">The employer </w:t>
      </w:r>
      <w:r w:rsidR="52AFA51D">
        <w:t>will not use temp</w:t>
      </w:r>
      <w:r w:rsidR="63C357A1">
        <w:t>orary employment except in the following circumstances</w:t>
      </w:r>
      <w:r w:rsidR="0A46FA1B">
        <w:t xml:space="preserve"> </w:t>
      </w:r>
      <w:r w:rsidR="4B148137">
        <w:t>- backfill</w:t>
      </w:r>
      <w:r w:rsidR="63C357A1">
        <w:t xml:space="preserve"> for approved leave, undertaking a specific time limited task, meeting unexpected fluctuation workloads.</w:t>
      </w:r>
    </w:p>
    <w:p w14:paraId="5961F3E3" w14:textId="7C9E6A16" w:rsidR="643F6604" w:rsidRDefault="643F6604" w:rsidP="643F6604"/>
    <w:p w14:paraId="40C18B2A" w14:textId="77777777" w:rsidR="00BB4BC5" w:rsidRDefault="00BB4BC5" w:rsidP="00964A99">
      <w:pPr>
        <w:pStyle w:val="ListParagraph"/>
      </w:pPr>
    </w:p>
    <w:p w14:paraId="7B81975A" w14:textId="67E8BBB3" w:rsidR="00A2445B" w:rsidRPr="00964A99" w:rsidRDefault="00A2445B" w:rsidP="00A2445B">
      <w:pPr>
        <w:rPr>
          <w:b/>
          <w:bCs/>
        </w:rPr>
      </w:pPr>
      <w:r w:rsidRPr="00964A99">
        <w:rPr>
          <w:b/>
          <w:bCs/>
        </w:rPr>
        <w:t xml:space="preserve">Leave </w:t>
      </w:r>
    </w:p>
    <w:p w14:paraId="6675AB73" w14:textId="4B3F4A6C" w:rsidR="00A2445B" w:rsidRDefault="00A2445B" w:rsidP="00A2445B"/>
    <w:p w14:paraId="09B2A6CC" w14:textId="7E1ABE3F" w:rsidR="004D18EB" w:rsidRPr="008E2411" w:rsidRDefault="7ED5565A" w:rsidP="000776CB">
      <w:pPr>
        <w:pStyle w:val="ListParagraph"/>
        <w:numPr>
          <w:ilvl w:val="0"/>
          <w:numId w:val="1"/>
        </w:numPr>
      </w:pPr>
      <w:r>
        <w:t xml:space="preserve">Eighteen </w:t>
      </w:r>
      <w:r w:rsidR="63C357A1">
        <w:t>weeks of paid parental leave for an employee couple or both parents</w:t>
      </w:r>
      <w:r w:rsidR="4E2BCF16">
        <w:t xml:space="preserve"> </w:t>
      </w:r>
      <w:r w:rsidR="78B221E0">
        <w:t>w</w:t>
      </w:r>
      <w:r w:rsidR="30DC3EC0">
        <w:t>hich may be taken at half pay</w:t>
      </w:r>
      <w:r w:rsidR="0A602B34">
        <w:t xml:space="preserve">. </w:t>
      </w:r>
    </w:p>
    <w:p w14:paraId="2F906FDE" w14:textId="44F1117B" w:rsidR="00A2445B" w:rsidRPr="008E2411" w:rsidRDefault="00EF58CC" w:rsidP="00EF58CC">
      <w:pPr>
        <w:pStyle w:val="ListParagraph"/>
        <w:numPr>
          <w:ilvl w:val="0"/>
          <w:numId w:val="1"/>
        </w:numPr>
      </w:pPr>
      <w:r w:rsidRPr="008E2411">
        <w:t>Personal/sick leave entitlement equal to that of the Ramsay Health Care Health Professionals Enterprise Agreement (Victoria) 2020-2022.</w:t>
      </w:r>
    </w:p>
    <w:p w14:paraId="06400C65" w14:textId="3A82C762" w:rsidR="00A2445B" w:rsidRDefault="63C357A1" w:rsidP="000776CB">
      <w:pPr>
        <w:pStyle w:val="ListParagraph"/>
        <w:numPr>
          <w:ilvl w:val="0"/>
          <w:numId w:val="1"/>
        </w:numPr>
      </w:pPr>
      <w:r>
        <w:lastRenderedPageBreak/>
        <w:t xml:space="preserve">Gender transition leave </w:t>
      </w:r>
      <w:r w:rsidR="00722214">
        <w:t xml:space="preserve">of </w:t>
      </w:r>
      <w:r w:rsidR="008E2411">
        <w:t>twenty-five</w:t>
      </w:r>
      <w:r w:rsidR="00722214">
        <w:t xml:space="preserve"> days. </w:t>
      </w:r>
    </w:p>
    <w:p w14:paraId="24E9815D" w14:textId="0E12068E" w:rsidR="00057FEE" w:rsidRDefault="00722214" w:rsidP="00722214">
      <w:pPr>
        <w:pStyle w:val="ListParagraph"/>
        <w:numPr>
          <w:ilvl w:val="0"/>
          <w:numId w:val="1"/>
        </w:numPr>
      </w:pPr>
      <w:r>
        <w:t xml:space="preserve">Twenty </w:t>
      </w:r>
      <w:r w:rsidR="585029C6">
        <w:t>days pandemic leave paid prior to utilising sick leave</w:t>
      </w:r>
      <w:r w:rsidR="53F01CB6">
        <w:t xml:space="preserve">   </w:t>
      </w:r>
    </w:p>
    <w:p w14:paraId="282C5FE5" w14:textId="77777777" w:rsidR="005A2146" w:rsidRDefault="0072286A" w:rsidP="005A2146">
      <w:pPr>
        <w:pStyle w:val="ListParagraph"/>
      </w:pPr>
      <w:r>
        <w:t>Paid special leave will be paid to full-time, part-time, and casual employees where a Public Health Emergency has been determined by the chief Health Officer and where an employee is absent from work:</w:t>
      </w:r>
    </w:p>
    <w:p w14:paraId="2BC93A2F" w14:textId="77777777" w:rsidR="009F16F1" w:rsidRDefault="0072286A" w:rsidP="00E17D41">
      <w:pPr>
        <w:pStyle w:val="ListParagraph"/>
        <w:numPr>
          <w:ilvl w:val="0"/>
          <w:numId w:val="9"/>
        </w:numPr>
        <w:ind w:left="1080"/>
      </w:pPr>
      <w:r>
        <w:t>because of being required to self-isolate by government or medical authorities; and/or acting on the advice of a medical practitioner</w:t>
      </w:r>
      <w:r w:rsidR="005A2146">
        <w:t xml:space="preserve"> </w:t>
      </w:r>
    </w:p>
    <w:p w14:paraId="22D58C65" w14:textId="77777777" w:rsidR="009F16F1" w:rsidRDefault="0072286A" w:rsidP="00E17D41">
      <w:pPr>
        <w:pStyle w:val="ListParagraph"/>
        <w:numPr>
          <w:ilvl w:val="0"/>
          <w:numId w:val="9"/>
        </w:numPr>
        <w:ind w:left="1080"/>
      </w:pPr>
      <w:r>
        <w:t xml:space="preserve">or as a direct result of measures taken by government or medical authorities in response to a </w:t>
      </w:r>
      <w:r w:rsidR="00603957">
        <w:t>pandemic.</w:t>
      </w:r>
      <w:r>
        <w:t xml:space="preserve"> </w:t>
      </w:r>
    </w:p>
    <w:p w14:paraId="61A9CF05" w14:textId="59DD88CA" w:rsidR="00057FEE" w:rsidRDefault="0072286A" w:rsidP="00E17D41">
      <w:pPr>
        <w:pStyle w:val="ListParagraph"/>
        <w:numPr>
          <w:ilvl w:val="0"/>
          <w:numId w:val="9"/>
        </w:numPr>
        <w:ind w:left="1080"/>
      </w:pPr>
      <w:r>
        <w:t xml:space="preserve">because they are unwell or has an allergic reaction after receiving </w:t>
      </w:r>
      <w:r w:rsidR="00603957">
        <w:t>vaccination.</w:t>
      </w:r>
      <w:r>
        <w:t xml:space="preserve"> </w:t>
      </w:r>
    </w:p>
    <w:p w14:paraId="6D2C19BF" w14:textId="77777777" w:rsidR="00217941" w:rsidRDefault="0072286A" w:rsidP="00E17D41">
      <w:pPr>
        <w:pStyle w:val="ListParagraph"/>
        <w:ind w:left="1440"/>
      </w:pPr>
      <w:r>
        <w:t xml:space="preserve">due to caring for family or household member who is required </w:t>
      </w:r>
      <w:proofErr w:type="gramStart"/>
      <w:r>
        <w:t>to</w:t>
      </w:r>
      <w:proofErr w:type="gramEnd"/>
      <w:r>
        <w:t xml:space="preserve"> self-isolate</w:t>
      </w:r>
    </w:p>
    <w:p w14:paraId="54EE3C02" w14:textId="77777777" w:rsidR="00E17D41" w:rsidRDefault="0072286A" w:rsidP="00E17D41">
      <w:pPr>
        <w:pStyle w:val="ListParagraph"/>
        <w:ind w:left="1440"/>
      </w:pPr>
      <w:r>
        <w:t>due to caring for a family or household member who Is unwell</w:t>
      </w:r>
    </w:p>
    <w:p w14:paraId="3CAB45BD" w14:textId="18838970" w:rsidR="00473860" w:rsidRDefault="0072286A" w:rsidP="00E17D41">
      <w:pPr>
        <w:pStyle w:val="ListParagraph"/>
        <w:numPr>
          <w:ilvl w:val="0"/>
          <w:numId w:val="9"/>
        </w:numPr>
        <w:ind w:left="1080"/>
      </w:pPr>
      <w:r>
        <w:t>or has an allergic reaction after receiving a vaccination.</w:t>
      </w:r>
    </w:p>
    <w:p w14:paraId="7A0A1F38" w14:textId="1FCD4D28" w:rsidR="00940EC9" w:rsidRDefault="5435933B" w:rsidP="000776CB">
      <w:pPr>
        <w:pStyle w:val="ListParagraph"/>
        <w:numPr>
          <w:ilvl w:val="0"/>
          <w:numId w:val="1"/>
        </w:numPr>
      </w:pPr>
      <w:r>
        <w:t>Paid time to attend covid testing and vaccination.</w:t>
      </w:r>
    </w:p>
    <w:p w14:paraId="34EF4B2F" w14:textId="77777777" w:rsidR="00057FEE" w:rsidRDefault="53F01CB6" w:rsidP="000776CB">
      <w:pPr>
        <w:pStyle w:val="ListParagraph"/>
        <w:numPr>
          <w:ilvl w:val="0"/>
          <w:numId w:val="1"/>
        </w:numPr>
      </w:pPr>
      <w:r>
        <w:t>Twenty days of paid family and domestic violence leave.</w:t>
      </w:r>
    </w:p>
    <w:p w14:paraId="5B2419B9" w14:textId="77777777" w:rsidR="00057FEE" w:rsidRDefault="00057FEE" w:rsidP="00057FEE">
      <w:pPr>
        <w:pStyle w:val="ListParagraph"/>
      </w:pPr>
    </w:p>
    <w:p w14:paraId="308AFA96" w14:textId="77777777" w:rsidR="004D7FAD" w:rsidRDefault="004D7FAD" w:rsidP="004D7FAD">
      <w:pPr>
        <w:pStyle w:val="ListParagraph"/>
      </w:pPr>
    </w:p>
    <w:p w14:paraId="66F3C2F4" w14:textId="5F30FAEA" w:rsidR="004D7FAD" w:rsidRPr="00964A99" w:rsidRDefault="004D7FAD" w:rsidP="004D7FAD">
      <w:pPr>
        <w:rPr>
          <w:b/>
          <w:bCs/>
        </w:rPr>
      </w:pPr>
      <w:r w:rsidRPr="00964A99">
        <w:rPr>
          <w:b/>
          <w:bCs/>
        </w:rPr>
        <w:t xml:space="preserve">Attraction and Retention </w:t>
      </w:r>
    </w:p>
    <w:p w14:paraId="7516D1F9" w14:textId="07823E0A" w:rsidR="004D7FAD" w:rsidRDefault="004D7FAD" w:rsidP="004D7FAD"/>
    <w:p w14:paraId="2A92AD6C" w14:textId="1B5C5EA2" w:rsidR="004D7FAD" w:rsidRDefault="585029C6" w:rsidP="000776CB">
      <w:pPr>
        <w:pStyle w:val="ListParagraph"/>
        <w:numPr>
          <w:ilvl w:val="0"/>
          <w:numId w:val="1"/>
        </w:numPr>
      </w:pPr>
      <w:r>
        <w:t xml:space="preserve">The employer will recognise the need to respond to demonstrable supply and skills shortages and current or emerging employee retention issues.  </w:t>
      </w:r>
      <w:r w:rsidR="67E29755">
        <w:t xml:space="preserve">10% </w:t>
      </w:r>
      <w:r w:rsidR="1DE430F7">
        <w:t>of the employee</w:t>
      </w:r>
      <w:r w:rsidR="3F2C8BB7">
        <w:t>’</w:t>
      </w:r>
      <w:r w:rsidR="1DE430F7">
        <w:t>s or position</w:t>
      </w:r>
      <w:r w:rsidR="75D78A2C">
        <w:t>’</w:t>
      </w:r>
      <w:r w:rsidR="1DE430F7">
        <w:t xml:space="preserve">s base </w:t>
      </w:r>
      <w:r w:rsidR="67E29755">
        <w:t>rate recruitment</w:t>
      </w:r>
      <w:r>
        <w:t xml:space="preserve"> and retention payment to be paid when positions have not been filled within three months.   </w:t>
      </w:r>
    </w:p>
    <w:p w14:paraId="7A3167EE" w14:textId="7A7BB56C" w:rsidR="004D7FAD" w:rsidRDefault="004D7FAD" w:rsidP="004D7FAD"/>
    <w:p w14:paraId="3A1FA134" w14:textId="35736EF7" w:rsidR="00C35B52" w:rsidRPr="00964A99" w:rsidRDefault="00C35B52" w:rsidP="004D7FAD">
      <w:pPr>
        <w:rPr>
          <w:b/>
          <w:bCs/>
        </w:rPr>
      </w:pPr>
      <w:r w:rsidRPr="00964A99">
        <w:rPr>
          <w:b/>
          <w:bCs/>
        </w:rPr>
        <w:t>Professional Development</w:t>
      </w:r>
    </w:p>
    <w:p w14:paraId="2874D153" w14:textId="248F1D98" w:rsidR="00C35B52" w:rsidRDefault="00C35B52" w:rsidP="004D7FAD"/>
    <w:p w14:paraId="216F0BCA" w14:textId="03CF3540" w:rsidR="00C35B52" w:rsidRDefault="6A16172C" w:rsidP="000776CB">
      <w:pPr>
        <w:pStyle w:val="ListParagraph"/>
        <w:numPr>
          <w:ilvl w:val="0"/>
          <w:numId w:val="1"/>
        </w:numPr>
      </w:pPr>
      <w:bookmarkStart w:id="0" w:name="_Hlk115760790"/>
      <w:r>
        <w:t xml:space="preserve">Introduction of a </w:t>
      </w:r>
      <w:r w:rsidR="008E2411">
        <w:t xml:space="preserve">Qualification allowance </w:t>
      </w:r>
      <w:r w:rsidR="762E9CFA">
        <w:t xml:space="preserve">for </w:t>
      </w:r>
      <w:r w:rsidR="762E9CFA" w:rsidRPr="008E2411">
        <w:t>a</w:t>
      </w:r>
      <w:r w:rsidR="000B05B0" w:rsidRPr="008E2411">
        <w:t>ll</w:t>
      </w:r>
      <w:r w:rsidR="762E9CFA">
        <w:t xml:space="preserve"> post graduate degree related to their </w:t>
      </w:r>
      <w:r w:rsidR="44EDC934">
        <w:t xml:space="preserve">employment, calculated </w:t>
      </w:r>
      <w:r w:rsidR="4224C457">
        <w:t>based on</w:t>
      </w:r>
      <w:r w:rsidR="3E5757B1">
        <w:t xml:space="preserve"> 3.5% of the </w:t>
      </w:r>
      <w:r w:rsidR="0A432F69">
        <w:t>employee’s</w:t>
      </w:r>
      <w:r w:rsidR="3E5757B1">
        <w:t xml:space="preserve"> wage.  </w:t>
      </w:r>
      <w:bookmarkEnd w:id="0"/>
    </w:p>
    <w:p w14:paraId="2A3083E3" w14:textId="61C7BA5C" w:rsidR="00DD1D4B" w:rsidRDefault="34D3DBD3" w:rsidP="000776CB">
      <w:pPr>
        <w:pStyle w:val="ListParagraph"/>
        <w:numPr>
          <w:ilvl w:val="0"/>
          <w:numId w:val="1"/>
        </w:numPr>
      </w:pPr>
      <w:r>
        <w:t>Five-day</w:t>
      </w:r>
      <w:r w:rsidR="4224C457">
        <w:t xml:space="preserve"> </w:t>
      </w:r>
      <w:r w:rsidR="49D23B99">
        <w:t xml:space="preserve">paid </w:t>
      </w:r>
      <w:r w:rsidR="4224C457">
        <w:t>professional development leave</w:t>
      </w:r>
      <w:r w:rsidR="00250235">
        <w:t>/study leave</w:t>
      </w:r>
      <w:r w:rsidR="30934B8E">
        <w:t xml:space="preserve"> per annum to attend professional development sessions.   </w:t>
      </w:r>
      <w:r w:rsidR="6CE3F687">
        <w:t xml:space="preserve">In </w:t>
      </w:r>
      <w:r>
        <w:t>addition,</w:t>
      </w:r>
      <w:r w:rsidR="6CE3F687">
        <w:t xml:space="preserve"> reasonable </w:t>
      </w:r>
      <w:r w:rsidR="781E8721">
        <w:t xml:space="preserve">paid </w:t>
      </w:r>
      <w:r w:rsidR="6CE3F687">
        <w:t>travel time to</w:t>
      </w:r>
      <w:r>
        <w:t xml:space="preserve"> attend professional development.  </w:t>
      </w:r>
    </w:p>
    <w:p w14:paraId="3DD89A76" w14:textId="636581A1" w:rsidR="008D77DF" w:rsidRDefault="109B89C5" w:rsidP="000776CB">
      <w:pPr>
        <w:pStyle w:val="ListParagraph"/>
        <w:numPr>
          <w:ilvl w:val="0"/>
          <w:numId w:val="1"/>
        </w:numPr>
      </w:pPr>
      <w:r>
        <w:t xml:space="preserve">Payment of a professional development allowance of </w:t>
      </w:r>
      <w:r w:rsidR="41B561B3">
        <w:t>$</w:t>
      </w:r>
      <w:r w:rsidR="1E5D2569">
        <w:t>3</w:t>
      </w:r>
      <w:r w:rsidR="41B561B3">
        <w:t xml:space="preserve">000 per annum </w:t>
      </w:r>
    </w:p>
    <w:p w14:paraId="5CA82405" w14:textId="4F830901" w:rsidR="00227DCD" w:rsidRDefault="7B2EA2B9" w:rsidP="000776CB">
      <w:pPr>
        <w:pStyle w:val="ListParagraph"/>
        <w:numPr>
          <w:ilvl w:val="0"/>
          <w:numId w:val="1"/>
        </w:numPr>
      </w:pPr>
      <w:r>
        <w:t>Payment of</w:t>
      </w:r>
      <w:r w:rsidR="1C9B0EDA">
        <w:t xml:space="preserve"> costs associated with</w:t>
      </w:r>
      <w:r>
        <w:t xml:space="preserve"> </w:t>
      </w:r>
      <w:r w:rsidR="109B89C5">
        <w:t>Health Practitioners registration</w:t>
      </w:r>
      <w:r w:rsidR="5919B199">
        <w:t xml:space="preserve"> </w:t>
      </w:r>
      <w:r w:rsidR="00813A73">
        <w:t xml:space="preserve">through a relevant registration organisation.  </w:t>
      </w:r>
    </w:p>
    <w:p w14:paraId="6274B98A" w14:textId="32FED94C" w:rsidR="00191C6A" w:rsidRDefault="00191C6A" w:rsidP="004D7FAD"/>
    <w:p w14:paraId="75E2FD3E" w14:textId="6AD1662C" w:rsidR="00191C6A" w:rsidRPr="00FE5A1E" w:rsidRDefault="00676C14" w:rsidP="004D7FAD">
      <w:pPr>
        <w:rPr>
          <w:b/>
          <w:bCs/>
        </w:rPr>
      </w:pPr>
      <w:r w:rsidRPr="00FE5A1E">
        <w:rPr>
          <w:b/>
          <w:bCs/>
        </w:rPr>
        <w:t>Career Pat</w:t>
      </w:r>
      <w:r w:rsidR="00BB3B0C" w:rsidRPr="00FE5A1E">
        <w:rPr>
          <w:b/>
          <w:bCs/>
        </w:rPr>
        <w:t xml:space="preserve">h </w:t>
      </w:r>
    </w:p>
    <w:p w14:paraId="7E498DD5" w14:textId="66D31B4A" w:rsidR="00361273" w:rsidRDefault="00361273" w:rsidP="004D7FAD"/>
    <w:p w14:paraId="4B712700" w14:textId="3207E510" w:rsidR="004C78A0" w:rsidRDefault="4015E9BA" w:rsidP="000776CB">
      <w:pPr>
        <w:pStyle w:val="ListParagraph"/>
        <w:numPr>
          <w:ilvl w:val="0"/>
          <w:numId w:val="1"/>
        </w:numPr>
      </w:pPr>
      <w:r>
        <w:t>Development of new work level statement</w:t>
      </w:r>
      <w:r w:rsidR="69E89B82">
        <w:t>s</w:t>
      </w:r>
      <w:r>
        <w:t xml:space="preserve"> </w:t>
      </w:r>
      <w:r w:rsidR="3793E861">
        <w:t xml:space="preserve">to determine a new career pathing structure. </w:t>
      </w:r>
    </w:p>
    <w:p w14:paraId="54C84D47" w14:textId="4AD7F861" w:rsidR="00BB3B0C" w:rsidRDefault="757C5EB5" w:rsidP="000776CB">
      <w:pPr>
        <w:pStyle w:val="ListParagraph"/>
        <w:numPr>
          <w:ilvl w:val="0"/>
          <w:numId w:val="1"/>
        </w:numPr>
      </w:pPr>
      <w:r>
        <w:t xml:space="preserve">Ensure that increments for part time staff are awarded based on years of service, not on hours worked. Basing incremental progression for part-time employees on hours in addition to years is discrimination against female employees. </w:t>
      </w:r>
      <w:r w:rsidR="00D07643">
        <w:t>Most</w:t>
      </w:r>
      <w:r>
        <w:t xml:space="preserve"> part-timers are female, returning to work after having children. Making them work 18 – 24 months before receiving an incremental increase further entrenches wage and superannuation disparity</w:t>
      </w:r>
    </w:p>
    <w:p w14:paraId="2046576E" w14:textId="77777777" w:rsidR="00940EC9" w:rsidRDefault="00940EC9" w:rsidP="00940EC9">
      <w:pPr>
        <w:pStyle w:val="ListParagraph"/>
      </w:pPr>
    </w:p>
    <w:p w14:paraId="4594D96C" w14:textId="0140235E" w:rsidR="00940EC9" w:rsidRDefault="00940EC9" w:rsidP="00327C2B">
      <w:pPr>
        <w:rPr>
          <w:b/>
          <w:bCs/>
        </w:rPr>
      </w:pPr>
      <w:r w:rsidRPr="00FE5A1E">
        <w:rPr>
          <w:b/>
          <w:bCs/>
        </w:rPr>
        <w:t>Diversity and Inclusion</w:t>
      </w:r>
    </w:p>
    <w:p w14:paraId="14998B1E" w14:textId="77777777" w:rsidR="00FE5A1E" w:rsidRPr="00FE5A1E" w:rsidRDefault="00FE5A1E" w:rsidP="00327C2B">
      <w:pPr>
        <w:rPr>
          <w:b/>
          <w:bCs/>
        </w:rPr>
      </w:pPr>
    </w:p>
    <w:p w14:paraId="7A65E27E" w14:textId="14EEDBE2" w:rsidR="00940EC9" w:rsidRPr="00B34606" w:rsidRDefault="5435933B" w:rsidP="000776CB">
      <w:pPr>
        <w:pStyle w:val="ListParagraph"/>
        <w:numPr>
          <w:ilvl w:val="0"/>
          <w:numId w:val="1"/>
        </w:numPr>
      </w:pPr>
      <w:r>
        <w:t xml:space="preserve">As an inclusive organisation, the employer is committed to fostering and supporting a workplace that prioritises fairness and equality and utilises the contributions of all </w:t>
      </w:r>
      <w:r>
        <w:lastRenderedPageBreak/>
        <w:t xml:space="preserve">employees with various backgrounds, experiences, and perspectives. The employer recognises that a diverse workforce benefits all employees, customers, and stakeholders. The employer aims to make every effort to ensure that this agreement is not directly, or indirectly, discriminatory in its effect, and that the workplace is free from discrimination, harassment and bullying </w:t>
      </w:r>
      <w:r w:rsidR="6CEA2558">
        <w:t>based on</w:t>
      </w:r>
      <w:r>
        <w:t>, or in association with any attribute protected by anti-discrimination and/or equal opportunity legislation.</w:t>
      </w:r>
    </w:p>
    <w:p w14:paraId="31AEE8F2" w14:textId="77777777" w:rsidR="00940EC9" w:rsidRPr="00B34606" w:rsidRDefault="00940EC9" w:rsidP="00940EC9">
      <w:pPr>
        <w:ind w:left="720"/>
      </w:pPr>
    </w:p>
    <w:p w14:paraId="1E2B586B" w14:textId="77777777" w:rsidR="00940EC9" w:rsidRPr="00B34606" w:rsidRDefault="00940EC9" w:rsidP="00940EC9">
      <w:pPr>
        <w:ind w:left="720"/>
      </w:pPr>
      <w:r w:rsidRPr="00B34606">
        <w:t xml:space="preserve">More specifically, </w:t>
      </w:r>
      <w:r>
        <w:t>the employer</w:t>
      </w:r>
      <w:r w:rsidRPr="00B34606">
        <w:t xml:space="preserve"> is committed to:</w:t>
      </w:r>
    </w:p>
    <w:p w14:paraId="34BDADBD" w14:textId="77777777" w:rsidR="00D559CB" w:rsidRDefault="00D559CB" w:rsidP="00D559CB">
      <w:pPr>
        <w:pStyle w:val="ListParagraph"/>
        <w:numPr>
          <w:ilvl w:val="0"/>
          <w:numId w:val="10"/>
        </w:numPr>
        <w:ind w:left="1440"/>
      </w:pPr>
      <w:r>
        <w:t>P</w:t>
      </w:r>
      <w:r w:rsidR="00940EC9" w:rsidRPr="00B34606">
        <w:t xml:space="preserve">roviding and supporting a workplace that values and utilises the contributions of people with different backgrounds, </w:t>
      </w:r>
      <w:r w:rsidR="00A27D97" w:rsidRPr="00B34606">
        <w:t>experiences,</w:t>
      </w:r>
      <w:r w:rsidR="00940EC9" w:rsidRPr="00B34606">
        <w:t xml:space="preserve"> and </w:t>
      </w:r>
      <w:r w:rsidR="00A27D97" w:rsidRPr="00B34606">
        <w:t>perspectives.</w:t>
      </w:r>
    </w:p>
    <w:p w14:paraId="13104DE0" w14:textId="025C949B" w:rsidR="00940EC9" w:rsidRPr="00B34606" w:rsidRDefault="00940EC9" w:rsidP="00D559CB">
      <w:pPr>
        <w:pStyle w:val="ListParagraph"/>
        <w:numPr>
          <w:ilvl w:val="0"/>
          <w:numId w:val="10"/>
        </w:numPr>
        <w:ind w:left="1440"/>
      </w:pPr>
      <w:r w:rsidRPr="00B34606">
        <w:t xml:space="preserve">Maintaining a workplace free from discrimination, </w:t>
      </w:r>
      <w:r w:rsidR="00A27D97" w:rsidRPr="00B34606">
        <w:t>harassment,</w:t>
      </w:r>
      <w:r w:rsidRPr="00B34606">
        <w:t xml:space="preserve"> and </w:t>
      </w:r>
      <w:r w:rsidR="00A27D97" w:rsidRPr="00B34606">
        <w:t>bullying.</w:t>
      </w:r>
    </w:p>
    <w:p w14:paraId="1A23499A" w14:textId="77777777" w:rsidR="00D559CB" w:rsidRDefault="00D559CB" w:rsidP="00D559CB">
      <w:pPr>
        <w:pStyle w:val="ListParagraph"/>
        <w:ind w:left="1080"/>
      </w:pPr>
    </w:p>
    <w:p w14:paraId="73883C59" w14:textId="6BBF04AD" w:rsidR="00940EC9" w:rsidRDefault="00940EC9" w:rsidP="00D559CB">
      <w:pPr>
        <w:pStyle w:val="ListParagraph"/>
      </w:pPr>
      <w:r w:rsidRPr="00B34606">
        <w:t>Encouraging diversity through:</w:t>
      </w:r>
    </w:p>
    <w:p w14:paraId="57315356" w14:textId="77777777" w:rsidR="00D559CB" w:rsidRPr="00B34606" w:rsidRDefault="00D559CB" w:rsidP="00D559CB">
      <w:pPr>
        <w:pStyle w:val="ListParagraph"/>
      </w:pPr>
    </w:p>
    <w:p w14:paraId="3E675DD7" w14:textId="77777777" w:rsidR="00D559CB" w:rsidRDefault="00940EC9" w:rsidP="00D559CB">
      <w:pPr>
        <w:pStyle w:val="ListParagraph"/>
        <w:numPr>
          <w:ilvl w:val="0"/>
          <w:numId w:val="11"/>
        </w:numPr>
      </w:pPr>
      <w:r w:rsidRPr="00B34606">
        <w:t xml:space="preserve">Developing an inclusive workplace </w:t>
      </w:r>
      <w:r w:rsidR="00A27D97" w:rsidRPr="00B34606">
        <w:t>culture.</w:t>
      </w:r>
    </w:p>
    <w:p w14:paraId="4F3E3BF4" w14:textId="77777777" w:rsidR="00D559CB" w:rsidRDefault="00940EC9" w:rsidP="00D559CB">
      <w:pPr>
        <w:pStyle w:val="ListParagraph"/>
        <w:numPr>
          <w:ilvl w:val="0"/>
          <w:numId w:val="11"/>
        </w:numPr>
      </w:pPr>
      <w:r w:rsidRPr="00B34606">
        <w:t xml:space="preserve">Providing a supportive working </w:t>
      </w:r>
      <w:r w:rsidR="00A27D97" w:rsidRPr="00B34606">
        <w:t>environment.</w:t>
      </w:r>
    </w:p>
    <w:p w14:paraId="792B8A4F" w14:textId="77777777" w:rsidR="00D559CB" w:rsidRDefault="00940EC9" w:rsidP="00D559CB">
      <w:pPr>
        <w:pStyle w:val="ListParagraph"/>
        <w:numPr>
          <w:ilvl w:val="0"/>
          <w:numId w:val="11"/>
        </w:numPr>
      </w:pPr>
      <w:r w:rsidRPr="00B34606">
        <w:t>Providing training to all employees to enhance existing skills and encourage development of new skills; a</w:t>
      </w:r>
      <w:r w:rsidR="00A27D97">
        <w:t>nd</w:t>
      </w:r>
    </w:p>
    <w:p w14:paraId="33AD843A" w14:textId="37274915" w:rsidR="00940EC9" w:rsidRPr="00B34606" w:rsidRDefault="00940EC9" w:rsidP="00D559CB">
      <w:pPr>
        <w:pStyle w:val="ListParagraph"/>
        <w:numPr>
          <w:ilvl w:val="0"/>
          <w:numId w:val="11"/>
        </w:numPr>
      </w:pPr>
      <w:r w:rsidRPr="00B34606">
        <w:t xml:space="preserve">Eliminating racism, </w:t>
      </w:r>
      <w:r w:rsidR="00A27D97" w:rsidRPr="00B34606">
        <w:t>homophobia,</w:t>
      </w:r>
      <w:r w:rsidRPr="00B34606">
        <w:t xml:space="preserve"> and transphobia.</w:t>
      </w:r>
    </w:p>
    <w:p w14:paraId="22B675EC" w14:textId="77777777" w:rsidR="00940EC9" w:rsidRPr="00B34606" w:rsidRDefault="00940EC9" w:rsidP="00A27D97">
      <w:pPr>
        <w:ind w:left="360"/>
      </w:pPr>
    </w:p>
    <w:p w14:paraId="4CD691D6" w14:textId="386BABE8" w:rsidR="00940EC9" w:rsidRDefault="00940EC9" w:rsidP="00940EC9">
      <w:pPr>
        <w:ind w:left="720"/>
      </w:pPr>
      <w:r>
        <w:t>The employer</w:t>
      </w:r>
      <w:r w:rsidRPr="00B34606">
        <w:t xml:space="preserve"> aims to create a workplace free from discrimination </w:t>
      </w:r>
      <w:r w:rsidR="00A27D97" w:rsidRPr="00B34606">
        <w:t>based on</w:t>
      </w:r>
      <w:r w:rsidRPr="00B34606">
        <w:t xml:space="preserve"> sex, sexual orientation, marital or domestic status, family or carer’s responsibilities, pregnancy, breastfeeding, age, race, colour, physical or mental disability, religion, political opinion, national extraction, social origin, or association with, or relation to a person identified </w:t>
      </w:r>
      <w:r w:rsidR="00232EEE" w:rsidRPr="00B34606">
        <w:t>based on</w:t>
      </w:r>
      <w:r w:rsidRPr="00B34606">
        <w:t xml:space="preserve"> any of the above attributes. </w:t>
      </w:r>
      <w:r>
        <w:t>The employer</w:t>
      </w:r>
      <w:r w:rsidRPr="00B34606">
        <w:t xml:space="preserve"> is a safe place for all lesbian, gay bisexual, transgender, </w:t>
      </w:r>
      <w:r w:rsidR="00C50B03" w:rsidRPr="00B34606">
        <w:t>intersex,</w:t>
      </w:r>
      <w:r w:rsidRPr="00B34606">
        <w:t xml:space="preserve"> and queer (LGBTIQ+) people.</w:t>
      </w:r>
      <w:r>
        <w:t xml:space="preserve"> </w:t>
      </w:r>
    </w:p>
    <w:p w14:paraId="112925D2" w14:textId="3F865964" w:rsidR="00940EC9" w:rsidRDefault="00940EC9" w:rsidP="00C50B03">
      <w:pPr>
        <w:pStyle w:val="ListParagraph"/>
        <w:numPr>
          <w:ilvl w:val="0"/>
          <w:numId w:val="1"/>
        </w:numPr>
      </w:pPr>
      <w:r>
        <w:t>The employer</w:t>
      </w:r>
      <w:r w:rsidRPr="00B34606">
        <w:t xml:space="preserve"> to develop and implement a Diversity and Inclusion Policy outlining how the employer will uphold its responsibilities in relation to providing working conditions and initiatives that promote equal opportunity and a diverse workforce.</w:t>
      </w:r>
    </w:p>
    <w:p w14:paraId="729CB5A3" w14:textId="77777777" w:rsidR="00940EC9" w:rsidRDefault="00940EC9" w:rsidP="00940EC9"/>
    <w:p w14:paraId="76EBE45F" w14:textId="2A588C4E" w:rsidR="004D7FAD" w:rsidRDefault="004D7FAD" w:rsidP="004D7FAD">
      <w:pPr>
        <w:rPr>
          <w:b/>
          <w:bCs/>
        </w:rPr>
      </w:pPr>
      <w:r w:rsidRPr="00232EEE">
        <w:rPr>
          <w:b/>
          <w:bCs/>
        </w:rPr>
        <w:t xml:space="preserve">Flexibility </w:t>
      </w:r>
    </w:p>
    <w:p w14:paraId="220B461C" w14:textId="77777777" w:rsidR="00232EEE" w:rsidRPr="00232EEE" w:rsidRDefault="00232EEE" w:rsidP="004D7FAD">
      <w:pPr>
        <w:rPr>
          <w:b/>
          <w:bCs/>
        </w:rPr>
      </w:pPr>
    </w:p>
    <w:p w14:paraId="6071E7E3" w14:textId="4AFB9C9B" w:rsidR="004D7FAD" w:rsidRDefault="400B7180" w:rsidP="000776CB">
      <w:pPr>
        <w:pStyle w:val="ListParagraph"/>
        <w:numPr>
          <w:ilvl w:val="0"/>
          <w:numId w:val="1"/>
        </w:numPr>
      </w:pPr>
      <w:r>
        <w:t xml:space="preserve">Development of </w:t>
      </w:r>
      <w:r w:rsidR="00D07643">
        <w:t xml:space="preserve">enhanced </w:t>
      </w:r>
      <w:r w:rsidR="55B0D035">
        <w:t>Flexible Working Arrangements Guideline</w:t>
      </w:r>
      <w:r>
        <w:t xml:space="preserve"> </w:t>
      </w:r>
      <w:r w:rsidR="55B0D035">
        <w:t>for the purpose of achieving work life balance</w:t>
      </w:r>
      <w:r w:rsidR="5E2E2C14">
        <w:t xml:space="preserve">.  </w:t>
      </w:r>
    </w:p>
    <w:p w14:paraId="093AA8EC" w14:textId="3AB747DF" w:rsidR="00F06E54" w:rsidRDefault="5E2E2C14" w:rsidP="000776CB">
      <w:pPr>
        <w:pStyle w:val="ListParagraph"/>
        <w:numPr>
          <w:ilvl w:val="0"/>
          <w:numId w:val="1"/>
        </w:numPr>
      </w:pPr>
      <w:r>
        <w:t>Employees can apply for individual flexible working arrangements which are outside business as usual</w:t>
      </w:r>
      <w:r w:rsidR="038E7132">
        <w:t>.</w:t>
      </w:r>
    </w:p>
    <w:p w14:paraId="5A23FFF1" w14:textId="581E80A1" w:rsidR="00F6101E" w:rsidRDefault="3BE512B5" w:rsidP="000776CB">
      <w:pPr>
        <w:pStyle w:val="ListParagraph"/>
        <w:numPr>
          <w:ilvl w:val="0"/>
          <w:numId w:val="1"/>
        </w:numPr>
      </w:pPr>
      <w:r>
        <w:t xml:space="preserve">Implementation of compressed working schedule to allow an employee to work longer hours on some days </w:t>
      </w:r>
      <w:r w:rsidR="5D9ED9F4">
        <w:t xml:space="preserve">to meet their required weekly or fortnightly hours sooner.  The employee can then take a day or part day off with the time that has been </w:t>
      </w:r>
      <w:r w:rsidR="3328C9C7">
        <w:t>accrued</w:t>
      </w:r>
      <w:r w:rsidR="5D9ED9F4">
        <w:t>.  Com</w:t>
      </w:r>
      <w:r w:rsidR="3328C9C7">
        <w:t>mon compressed working schedules will inc</w:t>
      </w:r>
      <w:r w:rsidR="2B7CC397">
        <w:t xml:space="preserve">lude </w:t>
      </w:r>
      <w:r w:rsidR="3328C9C7">
        <w:t xml:space="preserve">a </w:t>
      </w:r>
      <w:r w:rsidR="00D07643">
        <w:t>4-day</w:t>
      </w:r>
      <w:r w:rsidR="2B7CC397">
        <w:t xml:space="preserve"> week and a </w:t>
      </w:r>
      <w:proofErr w:type="gramStart"/>
      <w:r w:rsidR="2B7CC397">
        <w:t xml:space="preserve">9 </w:t>
      </w:r>
      <w:r w:rsidR="038E7132">
        <w:t>day</w:t>
      </w:r>
      <w:proofErr w:type="gramEnd"/>
      <w:r w:rsidR="038E7132">
        <w:t xml:space="preserve"> fortnight</w:t>
      </w:r>
      <w:r w:rsidR="2B7CC397">
        <w:t>.</w:t>
      </w:r>
      <w:r w:rsidR="038E7132">
        <w:t xml:space="preserve"> </w:t>
      </w:r>
    </w:p>
    <w:p w14:paraId="36AB1963" w14:textId="77777777" w:rsidR="00F6101E" w:rsidRDefault="00F6101E" w:rsidP="00F6101E">
      <w:pPr>
        <w:pStyle w:val="ListParagraph"/>
      </w:pPr>
    </w:p>
    <w:p w14:paraId="237ABCD6" w14:textId="77777777" w:rsidR="00F6101E" w:rsidRDefault="00F6101E" w:rsidP="00F6101E"/>
    <w:p w14:paraId="1BDB5230" w14:textId="5C71A244" w:rsidR="004D7FAD" w:rsidRPr="00232EEE" w:rsidRDefault="004D7FAD" w:rsidP="004D7FAD">
      <w:pPr>
        <w:rPr>
          <w:b/>
          <w:bCs/>
        </w:rPr>
      </w:pPr>
      <w:r w:rsidRPr="00232EEE">
        <w:rPr>
          <w:b/>
          <w:bCs/>
        </w:rPr>
        <w:t xml:space="preserve">Consultation provisions </w:t>
      </w:r>
    </w:p>
    <w:p w14:paraId="0E6AE213" w14:textId="77777777" w:rsidR="00940EC9" w:rsidRDefault="00940EC9" w:rsidP="004D7FAD"/>
    <w:p w14:paraId="7EDE8946" w14:textId="258AA451" w:rsidR="006E5502" w:rsidRDefault="7BE0C04B" w:rsidP="000776CB">
      <w:pPr>
        <w:pStyle w:val="ListParagraph"/>
        <w:numPr>
          <w:ilvl w:val="0"/>
          <w:numId w:val="1"/>
        </w:numPr>
      </w:pPr>
      <w:r>
        <w:t>Consultation process to be initiated when employer is giving serious consideration to introducing a significant change. Wording for the consultation clause: When the employer is seriously considering, and prior to, the taking of any definite decision on:</w:t>
      </w:r>
    </w:p>
    <w:p w14:paraId="10225B1E" w14:textId="23F58A6F" w:rsidR="006E5502" w:rsidRDefault="006E5502" w:rsidP="006E5502">
      <w:pPr>
        <w:pStyle w:val="ListParagraph"/>
        <w:numPr>
          <w:ilvl w:val="0"/>
          <w:numId w:val="4"/>
        </w:numPr>
      </w:pPr>
      <w:r>
        <w:lastRenderedPageBreak/>
        <w:t xml:space="preserve">The introduction of a major workplace change/s that is likely to have a significant effect on employees </w:t>
      </w:r>
      <w:r w:rsidR="00A350DD">
        <w:t>or.</w:t>
      </w:r>
    </w:p>
    <w:p w14:paraId="110E5648" w14:textId="77777777" w:rsidR="006E5502" w:rsidRDefault="006E5502" w:rsidP="006E5502">
      <w:pPr>
        <w:pStyle w:val="ListParagraph"/>
        <w:numPr>
          <w:ilvl w:val="0"/>
          <w:numId w:val="4"/>
        </w:numPr>
      </w:pPr>
      <w:r>
        <w:t>A change to the regular roster or ordinary hours of work of employees</w:t>
      </w:r>
    </w:p>
    <w:p w14:paraId="15A728BF" w14:textId="18FFA09A" w:rsidR="006E5502" w:rsidRDefault="7BE0C04B" w:rsidP="000776CB">
      <w:pPr>
        <w:pStyle w:val="ListParagraph"/>
        <w:numPr>
          <w:ilvl w:val="0"/>
          <w:numId w:val="1"/>
        </w:numPr>
      </w:pPr>
      <w:r>
        <w:t>The employer must notify and consult with the affected employees, their nominated representative, if any, and the union.</w:t>
      </w:r>
    </w:p>
    <w:p w14:paraId="5E900605" w14:textId="7790B69C" w:rsidR="006E5502" w:rsidRDefault="7BE0C04B" w:rsidP="000776CB">
      <w:pPr>
        <w:pStyle w:val="ListParagraph"/>
        <w:numPr>
          <w:ilvl w:val="0"/>
          <w:numId w:val="1"/>
        </w:numPr>
      </w:pPr>
      <w:r>
        <w:t>The employer will commit to giving demonstrated, genuine consideration to employee/union feedback resulting from consultation.</w:t>
      </w:r>
    </w:p>
    <w:p w14:paraId="05BA7044" w14:textId="77777777" w:rsidR="00940EC9" w:rsidRDefault="00940EC9" w:rsidP="00940EC9">
      <w:pPr>
        <w:pStyle w:val="ListParagraph"/>
      </w:pPr>
    </w:p>
    <w:p w14:paraId="160E6006" w14:textId="206C58A0" w:rsidR="00940EC9" w:rsidRPr="00A350DD" w:rsidRDefault="00940EC9" w:rsidP="006E5502">
      <w:pPr>
        <w:rPr>
          <w:b/>
          <w:bCs/>
        </w:rPr>
      </w:pPr>
      <w:r w:rsidRPr="00A350DD">
        <w:rPr>
          <w:b/>
          <w:bCs/>
        </w:rPr>
        <w:t xml:space="preserve">Industrial Obligations </w:t>
      </w:r>
    </w:p>
    <w:p w14:paraId="3B74CFFB" w14:textId="77777777" w:rsidR="000C5D71" w:rsidRDefault="000C5D71" w:rsidP="000C5D71">
      <w:pPr>
        <w:pStyle w:val="ListParagraph"/>
      </w:pPr>
    </w:p>
    <w:p w14:paraId="4CA71DB8" w14:textId="261B2A74" w:rsidR="000C5D71" w:rsidRDefault="7FB256D2" w:rsidP="000776CB">
      <w:pPr>
        <w:pStyle w:val="ListParagraph"/>
        <w:numPr>
          <w:ilvl w:val="0"/>
          <w:numId w:val="1"/>
        </w:numPr>
      </w:pPr>
      <w:r>
        <w:t xml:space="preserve">That the agreement </w:t>
      </w:r>
      <w:r w:rsidR="6C62C923">
        <w:t>provides</w:t>
      </w:r>
      <w:r>
        <w:t xml:space="preserve"> for union recognition and promotion of union membership.</w:t>
      </w:r>
    </w:p>
    <w:p w14:paraId="5F717ACC" w14:textId="3DA0CE38" w:rsidR="000C5D71" w:rsidRDefault="7FB256D2" w:rsidP="000776CB">
      <w:pPr>
        <w:pStyle w:val="ListParagraph"/>
        <w:numPr>
          <w:ilvl w:val="0"/>
          <w:numId w:val="1"/>
        </w:numPr>
      </w:pPr>
      <w:r>
        <w:t xml:space="preserve">That the agreement </w:t>
      </w:r>
      <w:r w:rsidR="6C62C923">
        <w:t>provides</w:t>
      </w:r>
      <w:r>
        <w:t xml:space="preserve"> for a union notice board for the union or union delegates to post notices on.</w:t>
      </w:r>
    </w:p>
    <w:p w14:paraId="0942DEA9" w14:textId="7B6C106B" w:rsidR="00665719" w:rsidRDefault="7FB256D2" w:rsidP="000776CB">
      <w:pPr>
        <w:pStyle w:val="ListParagraph"/>
        <w:numPr>
          <w:ilvl w:val="0"/>
          <w:numId w:val="1"/>
        </w:numPr>
      </w:pPr>
      <w:r>
        <w:t>That in relation to nominated union delegates, the employer will recognise delegates as the on-site representatives of the union. Delegates will be provided with access to resources to perform their role. The employer will provide delegates up to 5 days paid trade union training leave each year and allow delegates paid time to conduct on-site and off-site union business.</w:t>
      </w:r>
    </w:p>
    <w:p w14:paraId="50F566A0" w14:textId="0057BEC7" w:rsidR="000C5D71" w:rsidRDefault="7FB256D2" w:rsidP="000776CB">
      <w:pPr>
        <w:pStyle w:val="ListParagraph"/>
        <w:numPr>
          <w:ilvl w:val="0"/>
          <w:numId w:val="1"/>
        </w:numPr>
      </w:pPr>
      <w:r>
        <w:t>Employees be granted up to 4 hours paid time annually to attend union meetings on-site</w:t>
      </w:r>
      <w:r w:rsidR="0BE7F580">
        <w:t xml:space="preserve"> that can’t be conducted during break times</w:t>
      </w:r>
      <w:r>
        <w:t>.</w:t>
      </w:r>
    </w:p>
    <w:p w14:paraId="34AA6D50" w14:textId="0E91184F" w:rsidR="000C5D71" w:rsidRDefault="033A0FE2" w:rsidP="000776CB">
      <w:pPr>
        <w:pStyle w:val="ListParagraph"/>
        <w:numPr>
          <w:ilvl w:val="0"/>
          <w:numId w:val="1"/>
        </w:numPr>
      </w:pPr>
      <w:r>
        <w:t xml:space="preserve">That the agreement </w:t>
      </w:r>
      <w:r w:rsidR="11F2593B">
        <w:t>provides</w:t>
      </w:r>
      <w:r>
        <w:t xml:space="preserve"> for an authorised union representative to enter the worksite to induct new employees, distribute union information to union delegates and employees, and to participate under the </w:t>
      </w:r>
      <w:r w:rsidR="00C50B03">
        <w:t>dispute’s</w:t>
      </w:r>
      <w:r>
        <w:t xml:space="preserve"> procedure of the agreement.</w:t>
      </w:r>
    </w:p>
    <w:p w14:paraId="05B28E07" w14:textId="08ABC4CF" w:rsidR="00B66A80" w:rsidRDefault="0BE7F580" w:rsidP="000D43A4">
      <w:pPr>
        <w:pStyle w:val="ListParagraph"/>
        <w:numPr>
          <w:ilvl w:val="0"/>
          <w:numId w:val="1"/>
        </w:numPr>
      </w:pPr>
      <w:r>
        <w:t xml:space="preserve">A matter </w:t>
      </w:r>
      <w:proofErr w:type="spellStart"/>
      <w:r>
        <w:t>or</w:t>
      </w:r>
      <w:proofErr w:type="spellEnd"/>
      <w:r>
        <w:t xml:space="preserve"> dispute formally commenced under the </w:t>
      </w:r>
      <w:r w:rsidRPr="008E2411">
        <w:rPr>
          <w:b/>
          <w:bCs/>
          <w:highlight w:val="yellow"/>
        </w:rPr>
        <w:t>[insert name of the previous/current agreement/s]</w:t>
      </w:r>
      <w:r w:rsidRPr="008E2411">
        <w:rPr>
          <w:b/>
          <w:bCs/>
        </w:rPr>
        <w:t xml:space="preserve"> </w:t>
      </w:r>
      <w:r>
        <w:t>but not concluded at the time at which this Enterprise Agreement commences, will continue to be dealt with in accordance with the relevant provisions of the former Enterprise Agreement.</w:t>
      </w:r>
    </w:p>
    <w:p w14:paraId="37FB4AD5" w14:textId="3E72ABDD" w:rsidR="00B66A80" w:rsidRDefault="00B66A80" w:rsidP="000D43A4"/>
    <w:p w14:paraId="503818FF" w14:textId="1323D511" w:rsidR="00B66A80" w:rsidRDefault="00B66A80" w:rsidP="000D43A4"/>
    <w:p w14:paraId="60B1AC44" w14:textId="1B2A844C" w:rsidR="00B66A80" w:rsidRDefault="00B66A80" w:rsidP="000D43A4"/>
    <w:p w14:paraId="4922180C" w14:textId="3C01664B" w:rsidR="00B66A80" w:rsidRDefault="00B66A80" w:rsidP="000D43A4"/>
    <w:p w14:paraId="1CBE0E3C" w14:textId="4234D61C" w:rsidR="00B66A80" w:rsidRDefault="00B66A80" w:rsidP="000D43A4"/>
    <w:p w14:paraId="0006C080" w14:textId="1E139730" w:rsidR="00B66A80" w:rsidRDefault="00B66A80" w:rsidP="000D43A4"/>
    <w:p w14:paraId="2346C0D3" w14:textId="560A5DE2" w:rsidR="00B66A80" w:rsidRPr="00B66A80" w:rsidRDefault="00B66A80" w:rsidP="00B66A80">
      <w:pPr>
        <w:jc w:val="center"/>
        <w:rPr>
          <w:sz w:val="18"/>
          <w:szCs w:val="18"/>
        </w:rPr>
      </w:pPr>
      <w:r w:rsidRPr="00B66A80">
        <w:rPr>
          <w:sz w:val="18"/>
          <w:szCs w:val="18"/>
        </w:rPr>
        <w:t>Together reserves the right to add or withdraw claims during the negotiation period.</w:t>
      </w:r>
    </w:p>
    <w:sectPr w:rsidR="00B66A80" w:rsidRPr="00B66A80">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7F73" w14:textId="77777777" w:rsidR="009D6E9F" w:rsidRDefault="009D6E9F" w:rsidP="006228DB">
      <w:r>
        <w:separator/>
      </w:r>
    </w:p>
  </w:endnote>
  <w:endnote w:type="continuationSeparator" w:id="0">
    <w:p w14:paraId="09B36842" w14:textId="77777777" w:rsidR="009D6E9F" w:rsidRDefault="009D6E9F" w:rsidP="0062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1FFE" w14:textId="77777777" w:rsidR="009D6E9F" w:rsidRDefault="009D6E9F" w:rsidP="006228DB">
      <w:r>
        <w:separator/>
      </w:r>
    </w:p>
  </w:footnote>
  <w:footnote w:type="continuationSeparator" w:id="0">
    <w:p w14:paraId="0FEBDB44" w14:textId="77777777" w:rsidR="009D6E9F" w:rsidRDefault="009D6E9F" w:rsidP="0062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B492" w14:textId="4B8655F8" w:rsidR="00B66A80" w:rsidRDefault="00D07643">
    <w:pPr>
      <w:pStyle w:val="Header"/>
    </w:pPr>
    <w:r>
      <w:rPr>
        <w:noProof/>
      </w:rPr>
      <w:pict w14:anchorId="606CD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9407" o:spid="_x0000_s1026" type="#_x0000_t136" style="position:absolute;margin-left:0;margin-top:0;width:523.35pt;height:112.9pt;rotation:315;z-index:-251655168;mso-position-horizontal:center;mso-position-horizontal-relative:margin;mso-position-vertical:center;mso-position-vertical-relative:margin" o:allowincell="f" fillcolor="silver" stroked="f">
          <v:fill opacity=".5"/>
          <v:textpath style="font-family:&quot;Calibri&quot;;font-size:1pt" string="Without Prejudi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455A" w14:textId="2E83CB01" w:rsidR="006228DB" w:rsidRDefault="00D07643">
    <w:pPr>
      <w:pStyle w:val="Header"/>
    </w:pPr>
    <w:r>
      <w:rPr>
        <w:noProof/>
      </w:rPr>
      <w:pict w14:anchorId="37A42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9408" o:spid="_x0000_s1027" type="#_x0000_t136" style="position:absolute;margin-left:0;margin-top:0;width:523.35pt;height:112.9pt;rotation:315;z-index:-251653120;mso-position-horizontal:center;mso-position-horizontal-relative:margin;mso-position-vertical:center;mso-position-vertical-relative:margin" o:allowincell="f" fillcolor="silver" stroked="f">
          <v:fill opacity=".5"/>
          <v:textpath style="font-family:&quot;Calibri&quot;;font-size:1pt" string="Without Prejudice"/>
          <w10:wrap anchorx="margin" anchory="margin"/>
        </v:shape>
      </w:pict>
    </w:r>
    <w:r w:rsidR="006228DB">
      <w:rPr>
        <w:noProof/>
        <w:lang w:val="en-US"/>
      </w:rPr>
      <w:drawing>
        <wp:inline distT="0" distB="0" distL="0" distR="0" wp14:anchorId="49BF14FE" wp14:editId="429536E1">
          <wp:extent cx="5731510" cy="1090547"/>
          <wp:effectExtent l="0" t="0" r="2540" b="0"/>
          <wp:docPr id="1" name="Picture 0" descr="Together_BRANCH_LH_2016-PMS2597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ether_BRANCH_LH_2016-PMS2597C_Header.jpg"/>
                  <pic:cNvPicPr/>
                </pic:nvPicPr>
                <pic:blipFill>
                  <a:blip r:embed="rId1"/>
                  <a:stretch>
                    <a:fillRect/>
                  </a:stretch>
                </pic:blipFill>
                <pic:spPr>
                  <a:xfrm>
                    <a:off x="0" y="0"/>
                    <a:ext cx="5731510" cy="10905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BBA9" w14:textId="42A52F8F" w:rsidR="00B66A80" w:rsidRDefault="00D07643">
    <w:pPr>
      <w:pStyle w:val="Header"/>
    </w:pPr>
    <w:r>
      <w:rPr>
        <w:noProof/>
      </w:rPr>
      <w:pict w14:anchorId="27C4C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9406" o:spid="_x0000_s1025" type="#_x0000_t136" style="position:absolute;margin-left:0;margin-top:0;width:523.35pt;height:112.9pt;rotation:315;z-index:-251657216;mso-position-horizontal:center;mso-position-horizontal-relative:margin;mso-position-vertical:center;mso-position-vertical-relative:margin" o:allowincell="f" fillcolor="silver" stroked="f">
          <v:fill opacity=".5"/>
          <v:textpath style="font-family:&quot;Calibri&quot;;font-size:1pt" string="Without Prejud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4E3"/>
    <w:multiLevelType w:val="hybridMultilevel"/>
    <w:tmpl w:val="EA209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4F06EC"/>
    <w:multiLevelType w:val="hybridMultilevel"/>
    <w:tmpl w:val="F1747AF4"/>
    <w:lvl w:ilvl="0" w:tplc="97923C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6BD63C2"/>
    <w:multiLevelType w:val="hybridMultilevel"/>
    <w:tmpl w:val="AF527A74"/>
    <w:lvl w:ilvl="0" w:tplc="558E9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AD3F0"/>
    <w:multiLevelType w:val="hybridMultilevel"/>
    <w:tmpl w:val="4134E982"/>
    <w:lvl w:ilvl="0" w:tplc="A1A8326A">
      <w:start w:val="1"/>
      <w:numFmt w:val="decimal"/>
      <w:lvlText w:val="%1."/>
      <w:lvlJc w:val="left"/>
      <w:pPr>
        <w:ind w:left="720" w:hanging="360"/>
      </w:pPr>
    </w:lvl>
    <w:lvl w:ilvl="1" w:tplc="664E37BA">
      <w:start w:val="1"/>
      <w:numFmt w:val="lowerLetter"/>
      <w:lvlText w:val="%2."/>
      <w:lvlJc w:val="left"/>
      <w:pPr>
        <w:ind w:left="1440" w:hanging="360"/>
      </w:pPr>
    </w:lvl>
    <w:lvl w:ilvl="2" w:tplc="55D42D64">
      <w:start w:val="1"/>
      <w:numFmt w:val="lowerRoman"/>
      <w:lvlText w:val="%3."/>
      <w:lvlJc w:val="right"/>
      <w:pPr>
        <w:ind w:left="2160" w:hanging="180"/>
      </w:pPr>
    </w:lvl>
    <w:lvl w:ilvl="3" w:tplc="D06424CC">
      <w:start w:val="1"/>
      <w:numFmt w:val="decimal"/>
      <w:lvlText w:val="%4."/>
      <w:lvlJc w:val="left"/>
      <w:pPr>
        <w:ind w:left="2880" w:hanging="360"/>
      </w:pPr>
    </w:lvl>
    <w:lvl w:ilvl="4" w:tplc="FBFEE012">
      <w:start w:val="1"/>
      <w:numFmt w:val="lowerLetter"/>
      <w:lvlText w:val="%5."/>
      <w:lvlJc w:val="left"/>
      <w:pPr>
        <w:ind w:left="3600" w:hanging="360"/>
      </w:pPr>
    </w:lvl>
    <w:lvl w:ilvl="5" w:tplc="947CEE30">
      <w:start w:val="1"/>
      <w:numFmt w:val="lowerRoman"/>
      <w:lvlText w:val="%6."/>
      <w:lvlJc w:val="right"/>
      <w:pPr>
        <w:ind w:left="4320" w:hanging="180"/>
      </w:pPr>
    </w:lvl>
    <w:lvl w:ilvl="6" w:tplc="3E664E1A">
      <w:start w:val="1"/>
      <w:numFmt w:val="decimal"/>
      <w:lvlText w:val="%7."/>
      <w:lvlJc w:val="left"/>
      <w:pPr>
        <w:ind w:left="5040" w:hanging="360"/>
      </w:pPr>
    </w:lvl>
    <w:lvl w:ilvl="7" w:tplc="BAF4BFC8">
      <w:start w:val="1"/>
      <w:numFmt w:val="lowerLetter"/>
      <w:lvlText w:val="%8."/>
      <w:lvlJc w:val="left"/>
      <w:pPr>
        <w:ind w:left="5760" w:hanging="360"/>
      </w:pPr>
    </w:lvl>
    <w:lvl w:ilvl="8" w:tplc="025E3A38">
      <w:start w:val="1"/>
      <w:numFmt w:val="lowerRoman"/>
      <w:lvlText w:val="%9."/>
      <w:lvlJc w:val="right"/>
      <w:pPr>
        <w:ind w:left="6480" w:hanging="180"/>
      </w:pPr>
    </w:lvl>
  </w:abstractNum>
  <w:abstractNum w:abstractNumId="4" w15:restartNumberingAfterBreak="0">
    <w:nsid w:val="460B5EDA"/>
    <w:multiLevelType w:val="hybridMultilevel"/>
    <w:tmpl w:val="0DBC2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321D17"/>
    <w:multiLevelType w:val="hybridMultilevel"/>
    <w:tmpl w:val="092C3658"/>
    <w:lvl w:ilvl="0" w:tplc="2E223DF8">
      <w:start w:val="1"/>
      <w:numFmt w:val="decimal"/>
      <w:lvlText w:val="%1."/>
      <w:lvlJc w:val="left"/>
      <w:pPr>
        <w:ind w:left="720" w:hanging="360"/>
      </w:pPr>
    </w:lvl>
    <w:lvl w:ilvl="1" w:tplc="BDC236D8">
      <w:start w:val="1"/>
      <w:numFmt w:val="lowerLetter"/>
      <w:lvlText w:val="%2."/>
      <w:lvlJc w:val="left"/>
      <w:pPr>
        <w:ind w:left="1440" w:hanging="360"/>
      </w:pPr>
    </w:lvl>
    <w:lvl w:ilvl="2" w:tplc="53CC4A92">
      <w:start w:val="1"/>
      <w:numFmt w:val="lowerRoman"/>
      <w:lvlText w:val="%3."/>
      <w:lvlJc w:val="right"/>
      <w:pPr>
        <w:ind w:left="2160" w:hanging="180"/>
      </w:pPr>
    </w:lvl>
    <w:lvl w:ilvl="3" w:tplc="216215FA">
      <w:start w:val="1"/>
      <w:numFmt w:val="decimal"/>
      <w:lvlText w:val="%4."/>
      <w:lvlJc w:val="left"/>
      <w:pPr>
        <w:ind w:left="2880" w:hanging="360"/>
      </w:pPr>
    </w:lvl>
    <w:lvl w:ilvl="4" w:tplc="5FC218A0">
      <w:start w:val="1"/>
      <w:numFmt w:val="lowerLetter"/>
      <w:lvlText w:val="%5."/>
      <w:lvlJc w:val="left"/>
      <w:pPr>
        <w:ind w:left="3600" w:hanging="360"/>
      </w:pPr>
    </w:lvl>
    <w:lvl w:ilvl="5" w:tplc="12FC8E04">
      <w:start w:val="1"/>
      <w:numFmt w:val="lowerRoman"/>
      <w:lvlText w:val="%6."/>
      <w:lvlJc w:val="right"/>
      <w:pPr>
        <w:ind w:left="4320" w:hanging="180"/>
      </w:pPr>
    </w:lvl>
    <w:lvl w:ilvl="6" w:tplc="A93CCE2C">
      <w:start w:val="1"/>
      <w:numFmt w:val="decimal"/>
      <w:lvlText w:val="%7."/>
      <w:lvlJc w:val="left"/>
      <w:pPr>
        <w:ind w:left="5040" w:hanging="360"/>
      </w:pPr>
    </w:lvl>
    <w:lvl w:ilvl="7" w:tplc="29B8EAE6">
      <w:start w:val="1"/>
      <w:numFmt w:val="lowerLetter"/>
      <w:lvlText w:val="%8."/>
      <w:lvlJc w:val="left"/>
      <w:pPr>
        <w:ind w:left="5760" w:hanging="360"/>
      </w:pPr>
    </w:lvl>
    <w:lvl w:ilvl="8" w:tplc="202ED6E4">
      <w:start w:val="1"/>
      <w:numFmt w:val="lowerRoman"/>
      <w:lvlText w:val="%9."/>
      <w:lvlJc w:val="right"/>
      <w:pPr>
        <w:ind w:left="6480" w:hanging="180"/>
      </w:pPr>
    </w:lvl>
  </w:abstractNum>
  <w:abstractNum w:abstractNumId="6" w15:restartNumberingAfterBreak="0">
    <w:nsid w:val="55073FF3"/>
    <w:multiLevelType w:val="hybridMultilevel"/>
    <w:tmpl w:val="AC0A7362"/>
    <w:lvl w:ilvl="0" w:tplc="3EDE4C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B3176CA"/>
    <w:multiLevelType w:val="hybridMultilevel"/>
    <w:tmpl w:val="C1161088"/>
    <w:lvl w:ilvl="0" w:tplc="045809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070E9"/>
    <w:multiLevelType w:val="hybridMultilevel"/>
    <w:tmpl w:val="9BD84118"/>
    <w:lvl w:ilvl="0" w:tplc="F15E3CB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B0F3F12"/>
    <w:multiLevelType w:val="hybridMultilevel"/>
    <w:tmpl w:val="0DBC2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2F7A6C"/>
    <w:multiLevelType w:val="hybridMultilevel"/>
    <w:tmpl w:val="62F4CA10"/>
    <w:lvl w:ilvl="0" w:tplc="B42C8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3486847">
    <w:abstractNumId w:val="3"/>
  </w:num>
  <w:num w:numId="2" w16cid:durableId="229924058">
    <w:abstractNumId w:val="5"/>
  </w:num>
  <w:num w:numId="3" w16cid:durableId="2137336454">
    <w:abstractNumId w:val="4"/>
  </w:num>
  <w:num w:numId="4" w16cid:durableId="1727560099">
    <w:abstractNumId w:val="1"/>
  </w:num>
  <w:num w:numId="5" w16cid:durableId="100416384">
    <w:abstractNumId w:val="6"/>
  </w:num>
  <w:num w:numId="6" w16cid:durableId="1625889181">
    <w:abstractNumId w:val="8"/>
  </w:num>
  <w:num w:numId="7" w16cid:durableId="1734893024">
    <w:abstractNumId w:val="9"/>
  </w:num>
  <w:num w:numId="8" w16cid:durableId="740368953">
    <w:abstractNumId w:val="0"/>
  </w:num>
  <w:num w:numId="9" w16cid:durableId="1127696174">
    <w:abstractNumId w:val="7"/>
  </w:num>
  <w:num w:numId="10" w16cid:durableId="184446852">
    <w:abstractNumId w:val="10"/>
  </w:num>
  <w:num w:numId="11" w16cid:durableId="167799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B"/>
    <w:rsid w:val="00057FEE"/>
    <w:rsid w:val="000776CB"/>
    <w:rsid w:val="0008496B"/>
    <w:rsid w:val="0008666A"/>
    <w:rsid w:val="000917B1"/>
    <w:rsid w:val="00093617"/>
    <w:rsid w:val="00095BAF"/>
    <w:rsid w:val="000B05B0"/>
    <w:rsid w:val="000C5BC9"/>
    <w:rsid w:val="000C5D71"/>
    <w:rsid w:val="000D43A4"/>
    <w:rsid w:val="000E39FE"/>
    <w:rsid w:val="000F602E"/>
    <w:rsid w:val="00120997"/>
    <w:rsid w:val="00151998"/>
    <w:rsid w:val="00174CB4"/>
    <w:rsid w:val="00185798"/>
    <w:rsid w:val="00191C6A"/>
    <w:rsid w:val="001A40DC"/>
    <w:rsid w:val="001A50D3"/>
    <w:rsid w:val="001E4AF3"/>
    <w:rsid w:val="002114BD"/>
    <w:rsid w:val="00217941"/>
    <w:rsid w:val="002222D8"/>
    <w:rsid w:val="00222DA3"/>
    <w:rsid w:val="00227DCD"/>
    <w:rsid w:val="00232EEE"/>
    <w:rsid w:val="00250235"/>
    <w:rsid w:val="00276D6F"/>
    <w:rsid w:val="002974D8"/>
    <w:rsid w:val="002A676E"/>
    <w:rsid w:val="002E1253"/>
    <w:rsid w:val="002F50A3"/>
    <w:rsid w:val="00327C2B"/>
    <w:rsid w:val="003340B4"/>
    <w:rsid w:val="00361273"/>
    <w:rsid w:val="00361637"/>
    <w:rsid w:val="003A2B24"/>
    <w:rsid w:val="003A5486"/>
    <w:rsid w:val="003B124A"/>
    <w:rsid w:val="00464ED4"/>
    <w:rsid w:val="00473860"/>
    <w:rsid w:val="00482EBE"/>
    <w:rsid w:val="00487FA9"/>
    <w:rsid w:val="004909B6"/>
    <w:rsid w:val="00493EF2"/>
    <w:rsid w:val="004A19F1"/>
    <w:rsid w:val="004B0FC6"/>
    <w:rsid w:val="004B427D"/>
    <w:rsid w:val="004C5959"/>
    <w:rsid w:val="004C78A0"/>
    <w:rsid w:val="004D18EB"/>
    <w:rsid w:val="004D7854"/>
    <w:rsid w:val="004D7FAD"/>
    <w:rsid w:val="00501541"/>
    <w:rsid w:val="005A2146"/>
    <w:rsid w:val="005B3F64"/>
    <w:rsid w:val="00603957"/>
    <w:rsid w:val="00616CAB"/>
    <w:rsid w:val="006228DB"/>
    <w:rsid w:val="00665719"/>
    <w:rsid w:val="00676C14"/>
    <w:rsid w:val="006E5502"/>
    <w:rsid w:val="006F57CD"/>
    <w:rsid w:val="00722214"/>
    <w:rsid w:val="0072286A"/>
    <w:rsid w:val="00726FB9"/>
    <w:rsid w:val="007436D5"/>
    <w:rsid w:val="007576F1"/>
    <w:rsid w:val="00784D57"/>
    <w:rsid w:val="00793842"/>
    <w:rsid w:val="007977F9"/>
    <w:rsid w:val="007A6001"/>
    <w:rsid w:val="007E1332"/>
    <w:rsid w:val="00813719"/>
    <w:rsid w:val="00813A73"/>
    <w:rsid w:val="00822FBD"/>
    <w:rsid w:val="00851369"/>
    <w:rsid w:val="00853E29"/>
    <w:rsid w:val="00856606"/>
    <w:rsid w:val="00863B4F"/>
    <w:rsid w:val="00865005"/>
    <w:rsid w:val="00876432"/>
    <w:rsid w:val="00896B76"/>
    <w:rsid w:val="008B693B"/>
    <w:rsid w:val="008C1D66"/>
    <w:rsid w:val="008D77DF"/>
    <w:rsid w:val="008E0926"/>
    <w:rsid w:val="008E2411"/>
    <w:rsid w:val="00920379"/>
    <w:rsid w:val="009333A1"/>
    <w:rsid w:val="00940EC9"/>
    <w:rsid w:val="00964A99"/>
    <w:rsid w:val="0099341B"/>
    <w:rsid w:val="009D6E9F"/>
    <w:rsid w:val="009F109C"/>
    <w:rsid w:val="009F16F1"/>
    <w:rsid w:val="00A03197"/>
    <w:rsid w:val="00A10919"/>
    <w:rsid w:val="00A17601"/>
    <w:rsid w:val="00A2445B"/>
    <w:rsid w:val="00A27D97"/>
    <w:rsid w:val="00A30328"/>
    <w:rsid w:val="00A350DD"/>
    <w:rsid w:val="00A45560"/>
    <w:rsid w:val="00AB0BA8"/>
    <w:rsid w:val="00AB0F58"/>
    <w:rsid w:val="00AD16EA"/>
    <w:rsid w:val="00AD5C19"/>
    <w:rsid w:val="00AF1F27"/>
    <w:rsid w:val="00B64D0F"/>
    <w:rsid w:val="00B66A80"/>
    <w:rsid w:val="00BB3B0C"/>
    <w:rsid w:val="00BB4BC5"/>
    <w:rsid w:val="00C35B52"/>
    <w:rsid w:val="00C50B03"/>
    <w:rsid w:val="00C70454"/>
    <w:rsid w:val="00C7191E"/>
    <w:rsid w:val="00CB1700"/>
    <w:rsid w:val="00CB2D53"/>
    <w:rsid w:val="00CB5BA5"/>
    <w:rsid w:val="00CC4520"/>
    <w:rsid w:val="00D07643"/>
    <w:rsid w:val="00D148CC"/>
    <w:rsid w:val="00D559CB"/>
    <w:rsid w:val="00D61E9E"/>
    <w:rsid w:val="00DB188E"/>
    <w:rsid w:val="00DC616C"/>
    <w:rsid w:val="00DD1D4B"/>
    <w:rsid w:val="00E0389F"/>
    <w:rsid w:val="00E17D41"/>
    <w:rsid w:val="00E22AC4"/>
    <w:rsid w:val="00E33DB3"/>
    <w:rsid w:val="00E63E72"/>
    <w:rsid w:val="00E90B4F"/>
    <w:rsid w:val="00EA1914"/>
    <w:rsid w:val="00EA5BEA"/>
    <w:rsid w:val="00EF58CC"/>
    <w:rsid w:val="00F06E54"/>
    <w:rsid w:val="00F36370"/>
    <w:rsid w:val="00F6101E"/>
    <w:rsid w:val="00F70501"/>
    <w:rsid w:val="00FE5A1E"/>
    <w:rsid w:val="0265813D"/>
    <w:rsid w:val="032EC790"/>
    <w:rsid w:val="033A0FE2"/>
    <w:rsid w:val="038E7132"/>
    <w:rsid w:val="05B09EF7"/>
    <w:rsid w:val="05DFDD4D"/>
    <w:rsid w:val="0627BB1C"/>
    <w:rsid w:val="070D86D8"/>
    <w:rsid w:val="0718E67E"/>
    <w:rsid w:val="07BA8C6C"/>
    <w:rsid w:val="0A432F69"/>
    <w:rsid w:val="0A46FA1B"/>
    <w:rsid w:val="0A602B34"/>
    <w:rsid w:val="0B0B8929"/>
    <w:rsid w:val="0BE7F580"/>
    <w:rsid w:val="0DC19C9A"/>
    <w:rsid w:val="0E0347C4"/>
    <w:rsid w:val="0F3AD838"/>
    <w:rsid w:val="0F85AB1F"/>
    <w:rsid w:val="0F9AEFA7"/>
    <w:rsid w:val="0F9F1825"/>
    <w:rsid w:val="0FD58FB6"/>
    <w:rsid w:val="104455A2"/>
    <w:rsid w:val="109B89C5"/>
    <w:rsid w:val="11400E1C"/>
    <w:rsid w:val="11F2593B"/>
    <w:rsid w:val="12C68B9B"/>
    <w:rsid w:val="14E0F66B"/>
    <w:rsid w:val="14E19AD1"/>
    <w:rsid w:val="153F757B"/>
    <w:rsid w:val="1706B295"/>
    <w:rsid w:val="186D52C1"/>
    <w:rsid w:val="1930388E"/>
    <w:rsid w:val="1A167B04"/>
    <w:rsid w:val="1A39BD5E"/>
    <w:rsid w:val="1A6595D1"/>
    <w:rsid w:val="1C5D53A7"/>
    <w:rsid w:val="1C9B0EDA"/>
    <w:rsid w:val="1D3AEFB5"/>
    <w:rsid w:val="1DE430F7"/>
    <w:rsid w:val="1E5D2569"/>
    <w:rsid w:val="1FC116AE"/>
    <w:rsid w:val="1FDFB889"/>
    <w:rsid w:val="1FF0691F"/>
    <w:rsid w:val="20777DF3"/>
    <w:rsid w:val="21379196"/>
    <w:rsid w:val="23AF1EB5"/>
    <w:rsid w:val="2596D0EF"/>
    <w:rsid w:val="2739CA0F"/>
    <w:rsid w:val="27E44381"/>
    <w:rsid w:val="2873E5BC"/>
    <w:rsid w:val="28FB1960"/>
    <w:rsid w:val="29E9E432"/>
    <w:rsid w:val="2B7CC397"/>
    <w:rsid w:val="2BB94021"/>
    <w:rsid w:val="2D1E1712"/>
    <w:rsid w:val="2DF633BD"/>
    <w:rsid w:val="2E5A1D45"/>
    <w:rsid w:val="2EE88F03"/>
    <w:rsid w:val="2F3D8338"/>
    <w:rsid w:val="3045A261"/>
    <w:rsid w:val="30934B8E"/>
    <w:rsid w:val="30DC3EC0"/>
    <w:rsid w:val="3184E5D4"/>
    <w:rsid w:val="329F73A4"/>
    <w:rsid w:val="32B2D392"/>
    <w:rsid w:val="3328C9C7"/>
    <w:rsid w:val="33B894F7"/>
    <w:rsid w:val="34D3DBD3"/>
    <w:rsid w:val="355FE3F0"/>
    <w:rsid w:val="3588C70B"/>
    <w:rsid w:val="35EF03BB"/>
    <w:rsid w:val="36693EBC"/>
    <w:rsid w:val="3793E861"/>
    <w:rsid w:val="3A611CDE"/>
    <w:rsid w:val="3AC6FBC2"/>
    <w:rsid w:val="3BE512B5"/>
    <w:rsid w:val="3C310A01"/>
    <w:rsid w:val="3C77A25D"/>
    <w:rsid w:val="3E5757B1"/>
    <w:rsid w:val="3F2C8BB7"/>
    <w:rsid w:val="3F7F85EF"/>
    <w:rsid w:val="3FBF7B33"/>
    <w:rsid w:val="400B7180"/>
    <w:rsid w:val="4015E9BA"/>
    <w:rsid w:val="415D1DCA"/>
    <w:rsid w:val="41B561B3"/>
    <w:rsid w:val="4224C457"/>
    <w:rsid w:val="42D72D46"/>
    <w:rsid w:val="43328910"/>
    <w:rsid w:val="433D1EB5"/>
    <w:rsid w:val="43A82DCC"/>
    <w:rsid w:val="44EDC934"/>
    <w:rsid w:val="460ECE08"/>
    <w:rsid w:val="488BB60E"/>
    <w:rsid w:val="4915A73A"/>
    <w:rsid w:val="491EDAA8"/>
    <w:rsid w:val="49D23B99"/>
    <w:rsid w:val="4B148137"/>
    <w:rsid w:val="4B8955FC"/>
    <w:rsid w:val="4D3169DD"/>
    <w:rsid w:val="4D68944E"/>
    <w:rsid w:val="4E2BCF16"/>
    <w:rsid w:val="4FBF533A"/>
    <w:rsid w:val="4FDBB746"/>
    <w:rsid w:val="5012B9BB"/>
    <w:rsid w:val="502A485E"/>
    <w:rsid w:val="50A74E29"/>
    <w:rsid w:val="52AFA51D"/>
    <w:rsid w:val="53F01CB6"/>
    <w:rsid w:val="5435933B"/>
    <w:rsid w:val="54AD148C"/>
    <w:rsid w:val="550A09D8"/>
    <w:rsid w:val="5572AC34"/>
    <w:rsid w:val="55B0D035"/>
    <w:rsid w:val="571B4EE4"/>
    <w:rsid w:val="575CA0D9"/>
    <w:rsid w:val="585029C6"/>
    <w:rsid w:val="5919B199"/>
    <w:rsid w:val="5920026A"/>
    <w:rsid w:val="5928963D"/>
    <w:rsid w:val="5B2A2B56"/>
    <w:rsid w:val="5BB00AFC"/>
    <w:rsid w:val="5D25EFA3"/>
    <w:rsid w:val="5D7A39FB"/>
    <w:rsid w:val="5D9ED9F4"/>
    <w:rsid w:val="5E1CE360"/>
    <w:rsid w:val="5E2E2C14"/>
    <w:rsid w:val="5EC7039F"/>
    <w:rsid w:val="5F2B4268"/>
    <w:rsid w:val="5F7838F4"/>
    <w:rsid w:val="5FF5A243"/>
    <w:rsid w:val="6010FB69"/>
    <w:rsid w:val="60640592"/>
    <w:rsid w:val="61841B5C"/>
    <w:rsid w:val="63C357A1"/>
    <w:rsid w:val="63D9134C"/>
    <w:rsid w:val="643F6604"/>
    <w:rsid w:val="648E0A64"/>
    <w:rsid w:val="659C4739"/>
    <w:rsid w:val="67E29755"/>
    <w:rsid w:val="685095C8"/>
    <w:rsid w:val="698689BF"/>
    <w:rsid w:val="698D1DD1"/>
    <w:rsid w:val="6996C219"/>
    <w:rsid w:val="69E89B82"/>
    <w:rsid w:val="6A16172C"/>
    <w:rsid w:val="6B3D0178"/>
    <w:rsid w:val="6C1AE9B6"/>
    <w:rsid w:val="6C62C923"/>
    <w:rsid w:val="6CE3F687"/>
    <w:rsid w:val="6CEA2558"/>
    <w:rsid w:val="6F1E0525"/>
    <w:rsid w:val="6F514E8B"/>
    <w:rsid w:val="6F528A78"/>
    <w:rsid w:val="70E7B040"/>
    <w:rsid w:val="723832EB"/>
    <w:rsid w:val="72BBAC29"/>
    <w:rsid w:val="72E000A2"/>
    <w:rsid w:val="72F02DD6"/>
    <w:rsid w:val="738F385E"/>
    <w:rsid w:val="741D6CB0"/>
    <w:rsid w:val="74817908"/>
    <w:rsid w:val="757C5EB5"/>
    <w:rsid w:val="75D78A2C"/>
    <w:rsid w:val="762E9CFA"/>
    <w:rsid w:val="781E8721"/>
    <w:rsid w:val="7820117A"/>
    <w:rsid w:val="7840EE19"/>
    <w:rsid w:val="78B221E0"/>
    <w:rsid w:val="79119A0E"/>
    <w:rsid w:val="7A51432F"/>
    <w:rsid w:val="7B2B8087"/>
    <w:rsid w:val="7B2EA2B9"/>
    <w:rsid w:val="7B621279"/>
    <w:rsid w:val="7BE0C04B"/>
    <w:rsid w:val="7C087067"/>
    <w:rsid w:val="7C8A5DF7"/>
    <w:rsid w:val="7D1DF222"/>
    <w:rsid w:val="7D4B6D43"/>
    <w:rsid w:val="7DD21278"/>
    <w:rsid w:val="7ED5565A"/>
    <w:rsid w:val="7F709BC8"/>
    <w:rsid w:val="7FB25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8FDA"/>
  <w15:chartTrackingRefBased/>
  <w15:docId w15:val="{0038C84E-2618-4080-A0FF-B5120C98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DB"/>
    <w:pPr>
      <w:tabs>
        <w:tab w:val="center" w:pos="4513"/>
        <w:tab w:val="right" w:pos="9026"/>
      </w:tabs>
    </w:pPr>
  </w:style>
  <w:style w:type="character" w:customStyle="1" w:styleId="HeaderChar">
    <w:name w:val="Header Char"/>
    <w:basedOn w:val="DefaultParagraphFont"/>
    <w:link w:val="Header"/>
    <w:uiPriority w:val="99"/>
    <w:rsid w:val="006228DB"/>
  </w:style>
  <w:style w:type="paragraph" w:styleId="Footer">
    <w:name w:val="footer"/>
    <w:basedOn w:val="Normal"/>
    <w:link w:val="FooterChar"/>
    <w:uiPriority w:val="99"/>
    <w:unhideWhenUsed/>
    <w:rsid w:val="006228DB"/>
    <w:pPr>
      <w:tabs>
        <w:tab w:val="center" w:pos="4513"/>
        <w:tab w:val="right" w:pos="9026"/>
      </w:tabs>
    </w:pPr>
  </w:style>
  <w:style w:type="character" w:customStyle="1" w:styleId="FooterChar">
    <w:name w:val="Footer Char"/>
    <w:basedOn w:val="DefaultParagraphFont"/>
    <w:link w:val="Footer"/>
    <w:uiPriority w:val="99"/>
    <w:rsid w:val="006228DB"/>
  </w:style>
  <w:style w:type="paragraph" w:styleId="ListParagraph">
    <w:name w:val="List Paragraph"/>
    <w:basedOn w:val="Normal"/>
    <w:uiPriority w:val="34"/>
    <w:qFormat/>
    <w:rsid w:val="00B66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8D2939E82ED47BBC9CBCA8B6EE952" ma:contentTypeVersion="13" ma:contentTypeDescription="Create a new document." ma:contentTypeScope="" ma:versionID="4a70266ba090ef296d4b58378ad0f653">
  <xsd:schema xmlns:xsd="http://www.w3.org/2001/XMLSchema" xmlns:xs="http://www.w3.org/2001/XMLSchema" xmlns:p="http://schemas.microsoft.com/office/2006/metadata/properties" xmlns:ns3="796ea64b-717e-42d7-bccf-f711b9e72787" xmlns:ns4="d2dc41ff-09b4-4b3c-ab55-b26734aa08ca" targetNamespace="http://schemas.microsoft.com/office/2006/metadata/properties" ma:root="true" ma:fieldsID="a8809c135f036af4650dd84bef4a4e53" ns3:_="" ns4:_="">
    <xsd:import namespace="796ea64b-717e-42d7-bccf-f711b9e72787"/>
    <xsd:import namespace="d2dc41ff-09b4-4b3c-ab55-b26734aa08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ea64b-717e-42d7-bccf-f711b9e72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c41ff-09b4-4b3c-ab55-b26734aa08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7D64D-CF40-4BE4-97D6-D94FDC75B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ea64b-717e-42d7-bccf-f711b9e72787"/>
    <ds:schemaRef ds:uri="d2dc41ff-09b4-4b3c-ab55-b26734aa0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BE09A-52EF-4467-86C1-0506F5B441A7}">
  <ds:schemaRefs>
    <ds:schemaRef ds:uri="http://schemas.openxmlformats.org/officeDocument/2006/bibliography"/>
  </ds:schemaRefs>
</ds:datastoreItem>
</file>

<file path=customXml/itemProps3.xml><?xml version="1.0" encoding="utf-8"?>
<ds:datastoreItem xmlns:ds="http://schemas.openxmlformats.org/officeDocument/2006/customXml" ds:itemID="{D55656F0-EE41-4B1F-AE39-CFC6657CC2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52EEC6-6FBF-4BD4-B4FD-63321BE07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 May</dc:creator>
  <cp:keywords/>
  <dc:description/>
  <cp:lastModifiedBy>Heather Hayes</cp:lastModifiedBy>
  <cp:revision>2</cp:revision>
  <dcterms:created xsi:type="dcterms:W3CDTF">2022-10-04T21:44:00Z</dcterms:created>
  <dcterms:modified xsi:type="dcterms:W3CDTF">2022-10-04T21:44:00Z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0x010100E688D2939E82ED47BBC9CBCA8B6EE952</vt:lpwstr>
  </property>
</Properties>
</file>